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851" w14:textId="665148CF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</w:pPr>
      <w:r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 xml:space="preserve">LSDSP </w:t>
      </w:r>
      <w:proofErr w:type="spellStart"/>
      <w:r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vadības</w:t>
      </w:r>
      <w:proofErr w:type="spellEnd"/>
      <w:r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 xml:space="preserve">  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Ziņojums</w:t>
      </w:r>
      <w:proofErr w:type="spellEnd"/>
    </w:p>
    <w:p w14:paraId="0B68F130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I. </w:t>
      </w:r>
    </w:p>
    <w:p w14:paraId="53F97609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538135" w:themeColor="accent6" w:themeShade="BF"/>
          <w:kern w:val="0"/>
          <w:sz w:val="18"/>
          <w:szCs w:val="18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1.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Vispārīgā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informācija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par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statūtos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noteiktajiem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mērķiem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uzdevumiem</w:t>
      </w:r>
      <w:proofErr w:type="spellEnd"/>
      <w:r w:rsidRPr="007F5E5D">
        <w:rPr>
          <w:rFonts w:ascii="Cambria" w:eastAsia="Cambria" w:hAnsi="Cambria" w:cs="Times New Roman"/>
          <w:color w:val="538135" w:themeColor="accent6" w:themeShade="BF"/>
          <w:kern w:val="0"/>
          <w:sz w:val="18"/>
          <w:szCs w:val="18"/>
          <w:lang w:val="en" w:eastAsia="en"/>
          <w14:ligatures w14:val="none"/>
        </w:rPr>
        <w:t xml:space="preserve"> </w:t>
      </w:r>
    </w:p>
    <w:p w14:paraId="24320892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"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Latvijas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Sociāldemokrātiskā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strādnieku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"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dibināta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1993.gada </w:t>
      </w:r>
      <w:proofErr w:type="gram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13.aprīlī</w:t>
      </w:r>
      <w:proofErr w:type="gram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LSDSP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darbības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pamatprincipi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: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brīvība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taisnīgums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vienlīdzīgas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iespējas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solidaritāte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LSDSP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stratēģiskās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prioritātes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: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darbs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izglītība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labklājība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kārtība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valstī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LSDSP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darbojas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demokrātiskām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tiesiskām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metodēm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noraida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vēršas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pret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jebkuru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Personas,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etniskas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nacionālas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vai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sociālas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kopības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diskrimināciju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totalitāru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vai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autoritāru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ideoloģiju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naida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sludināšanu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varmācību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2E7F7F97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2.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Izmantotās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metodes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mērķu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uzdevumu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īstenošanai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gadā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atšķirības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no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iepriekšējos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gados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izmantotajām</w:t>
      </w:r>
      <w:proofErr w:type="spellEnd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  <w:t>metodēm</w:t>
      </w:r>
      <w:proofErr w:type="spellEnd"/>
    </w:p>
    <w:p w14:paraId="6C4E8052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i/>
          <w:iCs/>
          <w:color w:val="538135" w:themeColor="accent6" w:themeShade="BF"/>
          <w:kern w:val="0"/>
          <w:sz w:val="18"/>
          <w:szCs w:val="18"/>
          <w:u w:val="single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grāmatvedība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tiek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kārtota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saskaņā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LR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likumu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"Par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grāmatvedību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"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atbilstošiem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MK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noteikumiem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tiek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sagatavots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saskaņā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LR MK 2004.13.07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noteikumiem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Nr.591 "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Noteikumi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par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politisko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organizāciju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(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) un to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apvienību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.", kas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nosaka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struktūru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apjomu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saturu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arī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sagatavošanas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pārbaudīšanas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iesniegšanas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kārtību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1A9DBA09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gadā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pielietotas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pašas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metodes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kas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iepriekš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2FF6A2A5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sniedz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skaidru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patiesu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priekšstatu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par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līdzekļiem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fondiem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saistībām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finansiālo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stāvokli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realizē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savu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darbību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saskaņā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LR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tiesību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aktiem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statūtiem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23CA5056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ieņēmumus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veido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saņemtās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biedru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naudas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iestāšanās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naudas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arī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ziedojumi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(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dāvinājumi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),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iepriekšminētie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ieņēmumi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tiek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atzīti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naudas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saņemšanas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brīdī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2378B628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Aktīva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pasīvu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posteņu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sastāvdaļas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ir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novērtētas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atsevišķi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68F0D7DF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Norādīti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visi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posteņi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kuri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būtiski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ietekmē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lietotāju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novērtējumu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vai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lēmumu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pieņemšanu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7A9680D1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Politiskās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saimnieciskie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darījumi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iegrāmatoti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atspoguļoti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gada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pārskatā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ņemot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vērā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to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ekonomisko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saturu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būtību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,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nevis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tikai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juridisko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>formu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18"/>
          <w:szCs w:val="18"/>
          <w:lang w:val="en" w:eastAsia="en"/>
          <w14:ligatures w14:val="none"/>
        </w:rPr>
        <w:t xml:space="preserve">. </w:t>
      </w:r>
    </w:p>
    <w:p w14:paraId="7AD8C6F6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6955C114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Bilances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posteņu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skaidrojums</w:t>
      </w:r>
      <w:proofErr w:type="spellEnd"/>
    </w:p>
    <w:p w14:paraId="19DD03E5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>Piezīme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4"/>
          <w:szCs w:val="24"/>
          <w:lang w:val="en" w:eastAsia="en"/>
          <w14:ligatures w14:val="none"/>
        </w:rPr>
        <w:t xml:space="preserve"> Nr. 1</w:t>
      </w:r>
    </w:p>
    <w:p w14:paraId="4EEB23AF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1"/>
        <w:gridCol w:w="1590"/>
        <w:gridCol w:w="1559"/>
      </w:tblGrid>
      <w:tr w:rsidR="007F5E5D" w:rsidRPr="007F5E5D" w14:paraId="3E81B6DC" w14:textId="77777777" w:rsidTr="00356F93">
        <w:tc>
          <w:tcPr>
            <w:tcW w:w="4501" w:type="dxa"/>
          </w:tcPr>
          <w:p w14:paraId="2DC4D2F5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Citi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debitori</w:t>
            </w:r>
            <w:proofErr w:type="spellEnd"/>
          </w:p>
        </w:tc>
        <w:tc>
          <w:tcPr>
            <w:tcW w:w="1590" w:type="dxa"/>
          </w:tcPr>
          <w:p w14:paraId="72DDC76F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2021.g. EUR</w:t>
            </w:r>
          </w:p>
        </w:tc>
        <w:tc>
          <w:tcPr>
            <w:tcW w:w="1559" w:type="dxa"/>
          </w:tcPr>
          <w:p w14:paraId="4138E3A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2020.g. EUR</w:t>
            </w:r>
          </w:p>
        </w:tc>
      </w:tr>
      <w:tr w:rsidR="007F5E5D" w:rsidRPr="007F5E5D" w14:paraId="782756B3" w14:textId="77777777" w:rsidTr="00356F93">
        <w:trPr>
          <w:trHeight w:val="219"/>
        </w:trPr>
        <w:tc>
          <w:tcPr>
            <w:tcW w:w="4501" w:type="dxa"/>
          </w:tcPr>
          <w:p w14:paraId="1150FD2D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Garantijas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maksājumi</w:t>
            </w:r>
            <w:proofErr w:type="spellEnd"/>
          </w:p>
        </w:tc>
        <w:tc>
          <w:tcPr>
            <w:tcW w:w="1590" w:type="dxa"/>
          </w:tcPr>
          <w:p w14:paraId="6B0D665C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385</w:t>
            </w:r>
          </w:p>
        </w:tc>
        <w:tc>
          <w:tcPr>
            <w:tcW w:w="1559" w:type="dxa"/>
          </w:tcPr>
          <w:p w14:paraId="7C1CCE6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385</w:t>
            </w:r>
          </w:p>
        </w:tc>
      </w:tr>
      <w:tr w:rsidR="007F5E5D" w:rsidRPr="007F5E5D" w14:paraId="4999A8E1" w14:textId="77777777" w:rsidTr="00356F93">
        <w:trPr>
          <w:trHeight w:val="294"/>
        </w:trPr>
        <w:tc>
          <w:tcPr>
            <w:tcW w:w="4501" w:type="dxa"/>
          </w:tcPr>
          <w:p w14:paraId="18361906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Avansa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maksājumi</w:t>
            </w:r>
            <w:proofErr w:type="spellEnd"/>
          </w:p>
        </w:tc>
        <w:tc>
          <w:tcPr>
            <w:tcW w:w="1590" w:type="dxa"/>
          </w:tcPr>
          <w:p w14:paraId="6E6AC8B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0</w:t>
            </w:r>
          </w:p>
        </w:tc>
        <w:tc>
          <w:tcPr>
            <w:tcW w:w="1559" w:type="dxa"/>
          </w:tcPr>
          <w:p w14:paraId="11A387B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0</w:t>
            </w:r>
          </w:p>
        </w:tc>
      </w:tr>
      <w:tr w:rsidR="007F5E5D" w:rsidRPr="007F5E5D" w14:paraId="1CE57B25" w14:textId="77777777" w:rsidTr="00356F93">
        <w:tc>
          <w:tcPr>
            <w:tcW w:w="4501" w:type="dxa"/>
          </w:tcPr>
          <w:p w14:paraId="26F0AB30" w14:textId="77777777" w:rsidR="007F5E5D" w:rsidRPr="007F5E5D" w:rsidRDefault="007F5E5D" w:rsidP="007F5E5D">
            <w:pPr>
              <w:spacing w:line="288" w:lineRule="atLeast"/>
              <w:jc w:val="righ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kopā</w:t>
            </w:r>
            <w:proofErr w:type="spellEnd"/>
          </w:p>
        </w:tc>
        <w:tc>
          <w:tcPr>
            <w:tcW w:w="1590" w:type="dxa"/>
          </w:tcPr>
          <w:p w14:paraId="79E4160B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385</w:t>
            </w:r>
          </w:p>
        </w:tc>
        <w:tc>
          <w:tcPr>
            <w:tcW w:w="1559" w:type="dxa"/>
          </w:tcPr>
          <w:p w14:paraId="3E2E9A62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385</w:t>
            </w:r>
          </w:p>
        </w:tc>
      </w:tr>
      <w:tr w:rsidR="007F5E5D" w:rsidRPr="007F5E5D" w14:paraId="075A3E0A" w14:textId="77777777" w:rsidTr="00356F93">
        <w:trPr>
          <w:trHeight w:val="436"/>
        </w:trPr>
        <w:tc>
          <w:tcPr>
            <w:tcW w:w="7650" w:type="dxa"/>
            <w:gridSpan w:val="3"/>
            <w:tcBorders>
              <w:left w:val="nil"/>
              <w:right w:val="nil"/>
            </w:tcBorders>
          </w:tcPr>
          <w:p w14:paraId="2AB1F03E" w14:textId="77777777" w:rsidR="007F5E5D" w:rsidRPr="007F5E5D" w:rsidRDefault="007F5E5D" w:rsidP="007F5E5D">
            <w:pPr>
              <w:spacing w:before="100" w:beforeAutospacing="1"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Piezīme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Nr. 2</w:t>
            </w:r>
          </w:p>
        </w:tc>
      </w:tr>
      <w:tr w:rsidR="007F5E5D" w:rsidRPr="007F5E5D" w14:paraId="33E9E5AA" w14:textId="77777777" w:rsidTr="00356F93">
        <w:trPr>
          <w:trHeight w:val="297"/>
        </w:trPr>
        <w:tc>
          <w:tcPr>
            <w:tcW w:w="4501" w:type="dxa"/>
          </w:tcPr>
          <w:p w14:paraId="2C0AABFF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Naudas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līdzekļi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partijas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kasē</w:t>
            </w:r>
            <w:proofErr w:type="spellEnd"/>
          </w:p>
        </w:tc>
        <w:tc>
          <w:tcPr>
            <w:tcW w:w="1590" w:type="dxa"/>
          </w:tcPr>
          <w:p w14:paraId="30752F7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117</w:t>
            </w:r>
          </w:p>
        </w:tc>
        <w:tc>
          <w:tcPr>
            <w:tcW w:w="1559" w:type="dxa"/>
          </w:tcPr>
          <w:p w14:paraId="1AAB2CFF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117</w:t>
            </w:r>
          </w:p>
        </w:tc>
      </w:tr>
      <w:tr w:rsidR="007F5E5D" w:rsidRPr="007F5E5D" w14:paraId="0039CB50" w14:textId="77777777" w:rsidTr="00356F93">
        <w:trPr>
          <w:trHeight w:val="273"/>
        </w:trPr>
        <w:tc>
          <w:tcPr>
            <w:tcW w:w="4501" w:type="dxa"/>
          </w:tcPr>
          <w:p w14:paraId="2F1C78FC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Naudas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līdzekļi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Bankas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kontā</w:t>
            </w:r>
            <w:proofErr w:type="spellEnd"/>
          </w:p>
        </w:tc>
        <w:tc>
          <w:tcPr>
            <w:tcW w:w="1590" w:type="dxa"/>
          </w:tcPr>
          <w:p w14:paraId="725A274C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10</w:t>
            </w:r>
          </w:p>
        </w:tc>
        <w:tc>
          <w:tcPr>
            <w:tcW w:w="1559" w:type="dxa"/>
          </w:tcPr>
          <w:p w14:paraId="07A280F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336</w:t>
            </w:r>
          </w:p>
        </w:tc>
      </w:tr>
      <w:tr w:rsidR="007F5E5D" w:rsidRPr="007F5E5D" w14:paraId="6E9E27C8" w14:textId="77777777" w:rsidTr="00356F93">
        <w:tc>
          <w:tcPr>
            <w:tcW w:w="4501" w:type="dxa"/>
          </w:tcPr>
          <w:p w14:paraId="44397828" w14:textId="77777777" w:rsidR="007F5E5D" w:rsidRPr="007F5E5D" w:rsidRDefault="007F5E5D" w:rsidP="007F5E5D">
            <w:pPr>
              <w:spacing w:line="288" w:lineRule="atLeast"/>
              <w:jc w:val="righ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kopā</w:t>
            </w:r>
            <w:proofErr w:type="spellEnd"/>
          </w:p>
        </w:tc>
        <w:tc>
          <w:tcPr>
            <w:tcW w:w="1590" w:type="dxa"/>
          </w:tcPr>
          <w:p w14:paraId="6BC363EE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127</w:t>
            </w:r>
          </w:p>
        </w:tc>
        <w:tc>
          <w:tcPr>
            <w:tcW w:w="1559" w:type="dxa"/>
          </w:tcPr>
          <w:p w14:paraId="41DDA20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453</w:t>
            </w:r>
          </w:p>
        </w:tc>
      </w:tr>
      <w:tr w:rsidR="007F5E5D" w:rsidRPr="007F5E5D" w14:paraId="0D69C516" w14:textId="77777777" w:rsidTr="00356F93">
        <w:trPr>
          <w:trHeight w:val="700"/>
        </w:trPr>
        <w:tc>
          <w:tcPr>
            <w:tcW w:w="76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4690ECE" w14:textId="77777777" w:rsidR="007F5E5D" w:rsidRPr="007F5E5D" w:rsidRDefault="007F5E5D" w:rsidP="007F5E5D">
            <w:pPr>
              <w:spacing w:beforeLines="50" w:before="120" w:afterLines="50" w:after="120"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Piezīme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Nr. 3</w:t>
            </w:r>
          </w:p>
        </w:tc>
      </w:tr>
      <w:tr w:rsidR="007F5E5D" w:rsidRPr="007F5E5D" w14:paraId="3991F5B5" w14:textId="77777777" w:rsidTr="00356F93">
        <w:tc>
          <w:tcPr>
            <w:tcW w:w="4501" w:type="dxa"/>
          </w:tcPr>
          <w:p w14:paraId="2DBAA51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Rezerves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gram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Fonds 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atlikums</w:t>
            </w:r>
            <w:proofErr w:type="spellEnd"/>
            <w:proofErr w:type="gramEnd"/>
          </w:p>
        </w:tc>
        <w:tc>
          <w:tcPr>
            <w:tcW w:w="1590" w:type="dxa"/>
          </w:tcPr>
          <w:p w14:paraId="6C5B99B3" w14:textId="77777777" w:rsidR="007F5E5D" w:rsidRPr="007F5E5D" w:rsidRDefault="007F5E5D" w:rsidP="007F5E5D">
            <w:pPr>
              <w:tabs>
                <w:tab w:val="left" w:pos="960"/>
              </w:tabs>
              <w:spacing w:line="288" w:lineRule="atLeast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  <w:t>-526</w:t>
            </w:r>
          </w:p>
        </w:tc>
        <w:tc>
          <w:tcPr>
            <w:tcW w:w="1559" w:type="dxa"/>
          </w:tcPr>
          <w:p w14:paraId="11245307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  <w:t>-1939</w:t>
            </w:r>
          </w:p>
        </w:tc>
      </w:tr>
      <w:tr w:rsidR="007F5E5D" w:rsidRPr="007F5E5D" w14:paraId="42A9D11A" w14:textId="77777777" w:rsidTr="00356F93">
        <w:tc>
          <w:tcPr>
            <w:tcW w:w="4501" w:type="dxa"/>
          </w:tcPr>
          <w:p w14:paraId="2F8BE32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Izmaiņas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Pārskata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gadā</w:t>
            </w:r>
            <w:proofErr w:type="spellEnd"/>
          </w:p>
        </w:tc>
        <w:tc>
          <w:tcPr>
            <w:tcW w:w="1590" w:type="dxa"/>
          </w:tcPr>
          <w:p w14:paraId="2495B35F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  <w:t>1413</w:t>
            </w:r>
          </w:p>
        </w:tc>
        <w:tc>
          <w:tcPr>
            <w:tcW w:w="1559" w:type="dxa"/>
          </w:tcPr>
          <w:p w14:paraId="1E0F0E71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sz w:val="20"/>
                <w:szCs w:val="20"/>
                <w:lang w:val="en" w:eastAsia="en"/>
              </w:rPr>
            </w:pPr>
          </w:p>
        </w:tc>
      </w:tr>
    </w:tbl>
    <w:p w14:paraId="07C7BA4D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III. 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Ieņēmumu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un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izdevumu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posteņu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skaidrojums</w:t>
      </w:r>
      <w:proofErr w:type="spellEnd"/>
    </w:p>
    <w:tbl>
      <w:tblPr>
        <w:tblStyle w:val="Reatabula"/>
        <w:tblW w:w="0" w:type="auto"/>
        <w:tblInd w:w="5" w:type="dxa"/>
        <w:tblLook w:val="04A0" w:firstRow="1" w:lastRow="0" w:firstColumn="1" w:lastColumn="0" w:noHBand="0" w:noVBand="1"/>
      </w:tblPr>
      <w:tblGrid>
        <w:gridCol w:w="4501"/>
        <w:gridCol w:w="1590"/>
        <w:gridCol w:w="1559"/>
      </w:tblGrid>
      <w:tr w:rsidR="007F5E5D" w:rsidRPr="007F5E5D" w14:paraId="60B310BE" w14:textId="77777777" w:rsidTr="00356F93">
        <w:trPr>
          <w:trHeight w:val="401"/>
        </w:trPr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1442C60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Piezīme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Nr. 4</w:t>
            </w:r>
          </w:p>
        </w:tc>
      </w:tr>
      <w:tr w:rsidR="007F5E5D" w:rsidRPr="007F5E5D" w14:paraId="40638842" w14:textId="77777777" w:rsidTr="00356F93">
        <w:tc>
          <w:tcPr>
            <w:tcW w:w="4501" w:type="dxa"/>
          </w:tcPr>
          <w:p w14:paraId="509636F1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lastRenderedPageBreak/>
              <w:t>Telpu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īre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un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pakalpojumi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, kas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saistīti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ar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telpu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īri</w:t>
            </w:r>
            <w:proofErr w:type="spellEnd"/>
          </w:p>
        </w:tc>
        <w:tc>
          <w:tcPr>
            <w:tcW w:w="1590" w:type="dxa"/>
          </w:tcPr>
          <w:p w14:paraId="2DC6A74D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</w:p>
        </w:tc>
        <w:tc>
          <w:tcPr>
            <w:tcW w:w="1559" w:type="dxa"/>
          </w:tcPr>
          <w:p w14:paraId="390CF01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</w:p>
        </w:tc>
      </w:tr>
      <w:tr w:rsidR="007F5E5D" w:rsidRPr="007F5E5D" w14:paraId="32EC43ED" w14:textId="77777777" w:rsidTr="00356F93">
        <w:tc>
          <w:tcPr>
            <w:tcW w:w="4501" w:type="dxa"/>
          </w:tcPr>
          <w:p w14:paraId="456F270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Telpu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noma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</w:p>
        </w:tc>
        <w:tc>
          <w:tcPr>
            <w:tcW w:w="1590" w:type="dxa"/>
          </w:tcPr>
          <w:p w14:paraId="54389287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2474</w:t>
            </w:r>
          </w:p>
        </w:tc>
        <w:tc>
          <w:tcPr>
            <w:tcW w:w="1559" w:type="dxa"/>
          </w:tcPr>
          <w:p w14:paraId="195A293A" w14:textId="77777777" w:rsidR="007F5E5D" w:rsidRPr="007F5E5D" w:rsidRDefault="007F5E5D" w:rsidP="007F5E5D">
            <w:pPr>
              <w:keepNext/>
              <w:keepLines/>
              <w:spacing w:line="288" w:lineRule="atLeast"/>
              <w:outlineLvl w:val="0"/>
              <w:rPr>
                <w:rFonts w:ascii="Cambria" w:eastAsiaTheme="majorEastAsia" w:hAnsi="Cambria" w:cstheme="majorBidi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Theme="majorEastAsia" w:hAnsi="Cambria" w:cstheme="majorBidi"/>
                <w:sz w:val="20"/>
                <w:szCs w:val="20"/>
                <w:lang w:val="en" w:eastAsia="en"/>
              </w:rPr>
              <w:t>2489</w:t>
            </w:r>
          </w:p>
        </w:tc>
      </w:tr>
      <w:tr w:rsidR="007F5E5D" w:rsidRPr="007F5E5D" w14:paraId="6B349551" w14:textId="77777777" w:rsidTr="00356F93">
        <w:tc>
          <w:tcPr>
            <w:tcW w:w="4501" w:type="dxa"/>
          </w:tcPr>
          <w:p w14:paraId="2CF6BB3B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Komunālie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izdevumi</w:t>
            </w:r>
            <w:proofErr w:type="spellEnd"/>
          </w:p>
        </w:tc>
        <w:tc>
          <w:tcPr>
            <w:tcW w:w="1590" w:type="dxa"/>
          </w:tcPr>
          <w:p w14:paraId="1079A200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1417</w:t>
            </w:r>
          </w:p>
        </w:tc>
        <w:tc>
          <w:tcPr>
            <w:tcW w:w="1559" w:type="dxa"/>
          </w:tcPr>
          <w:p w14:paraId="25488C21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1276</w:t>
            </w:r>
          </w:p>
        </w:tc>
      </w:tr>
      <w:tr w:rsidR="007F5E5D" w:rsidRPr="007F5E5D" w14:paraId="236E3C87" w14:textId="77777777" w:rsidTr="00356F93">
        <w:tc>
          <w:tcPr>
            <w:tcW w:w="4501" w:type="dxa"/>
          </w:tcPr>
          <w:p w14:paraId="5B5141A1" w14:textId="77777777" w:rsidR="007F5E5D" w:rsidRPr="007F5E5D" w:rsidRDefault="007F5E5D" w:rsidP="007F5E5D">
            <w:pPr>
              <w:spacing w:line="288" w:lineRule="atLeast"/>
              <w:jc w:val="righ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kopā</w:t>
            </w:r>
            <w:proofErr w:type="spellEnd"/>
          </w:p>
        </w:tc>
        <w:tc>
          <w:tcPr>
            <w:tcW w:w="1590" w:type="dxa"/>
          </w:tcPr>
          <w:p w14:paraId="574FAB6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3891</w:t>
            </w:r>
          </w:p>
        </w:tc>
        <w:tc>
          <w:tcPr>
            <w:tcW w:w="1559" w:type="dxa"/>
          </w:tcPr>
          <w:p w14:paraId="266FA08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3765</w:t>
            </w:r>
          </w:p>
        </w:tc>
      </w:tr>
      <w:tr w:rsidR="007F5E5D" w:rsidRPr="007F5E5D" w14:paraId="1F52C8B3" w14:textId="77777777" w:rsidTr="00356F93">
        <w:trPr>
          <w:trHeight w:val="768"/>
        </w:trPr>
        <w:tc>
          <w:tcPr>
            <w:tcW w:w="4501" w:type="dxa"/>
            <w:tcBorders>
              <w:left w:val="nil"/>
              <w:right w:val="nil"/>
            </w:tcBorders>
          </w:tcPr>
          <w:p w14:paraId="5714C695" w14:textId="77777777" w:rsidR="007F5E5D" w:rsidRPr="007F5E5D" w:rsidRDefault="007F5E5D" w:rsidP="007F5E5D">
            <w:pPr>
              <w:spacing w:beforeLines="100" w:before="240" w:afterLines="100" w:after="240"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Piezīme</w:t>
            </w:r>
            <w:proofErr w:type="spellEnd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 Nr. 5</w:t>
            </w:r>
          </w:p>
        </w:tc>
        <w:tc>
          <w:tcPr>
            <w:tcW w:w="3149" w:type="dxa"/>
            <w:gridSpan w:val="2"/>
            <w:tcBorders>
              <w:left w:val="nil"/>
              <w:right w:val="nil"/>
            </w:tcBorders>
          </w:tcPr>
          <w:p w14:paraId="53131D2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</w:p>
        </w:tc>
      </w:tr>
      <w:tr w:rsidR="007F5E5D" w:rsidRPr="007F5E5D" w14:paraId="483C6212" w14:textId="77777777" w:rsidTr="00356F93">
        <w:tc>
          <w:tcPr>
            <w:tcW w:w="6091" w:type="dxa"/>
            <w:gridSpan w:val="2"/>
          </w:tcPr>
          <w:p w14:paraId="45EA38D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 xml:space="preserve">Citi </w:t>
            </w: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izdevumi</w:t>
            </w:r>
            <w:proofErr w:type="spellEnd"/>
          </w:p>
        </w:tc>
        <w:tc>
          <w:tcPr>
            <w:tcW w:w="1559" w:type="dxa"/>
          </w:tcPr>
          <w:p w14:paraId="45938AB0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</w:p>
        </w:tc>
      </w:tr>
      <w:tr w:rsidR="007F5E5D" w:rsidRPr="007F5E5D" w14:paraId="13AEF829" w14:textId="77777777" w:rsidTr="00356F93">
        <w:tc>
          <w:tcPr>
            <w:tcW w:w="4501" w:type="dxa"/>
          </w:tcPr>
          <w:p w14:paraId="4F8B281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Biroja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izdevumi</w:t>
            </w:r>
            <w:proofErr w:type="spellEnd"/>
          </w:p>
        </w:tc>
        <w:tc>
          <w:tcPr>
            <w:tcW w:w="1590" w:type="dxa"/>
          </w:tcPr>
          <w:p w14:paraId="288E45F0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568</w:t>
            </w:r>
          </w:p>
        </w:tc>
        <w:tc>
          <w:tcPr>
            <w:tcW w:w="1559" w:type="dxa"/>
          </w:tcPr>
          <w:p w14:paraId="751DCF8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0</w:t>
            </w:r>
          </w:p>
        </w:tc>
      </w:tr>
      <w:tr w:rsidR="007F5E5D" w:rsidRPr="007F5E5D" w14:paraId="4C671BCC" w14:textId="77777777" w:rsidTr="00356F93">
        <w:tc>
          <w:tcPr>
            <w:tcW w:w="4501" w:type="dxa"/>
          </w:tcPr>
          <w:p w14:paraId="3A73047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Bankas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komisijas</w:t>
            </w:r>
            <w:proofErr w:type="spellEnd"/>
          </w:p>
        </w:tc>
        <w:tc>
          <w:tcPr>
            <w:tcW w:w="1590" w:type="dxa"/>
          </w:tcPr>
          <w:p w14:paraId="697E9B86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237</w:t>
            </w:r>
          </w:p>
        </w:tc>
        <w:tc>
          <w:tcPr>
            <w:tcW w:w="1559" w:type="dxa"/>
          </w:tcPr>
          <w:p w14:paraId="3921452A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220</w:t>
            </w:r>
          </w:p>
        </w:tc>
      </w:tr>
      <w:tr w:rsidR="007F5E5D" w:rsidRPr="007F5E5D" w14:paraId="18743D98" w14:textId="77777777" w:rsidTr="00356F93">
        <w:tc>
          <w:tcPr>
            <w:tcW w:w="4501" w:type="dxa"/>
          </w:tcPr>
          <w:p w14:paraId="2AA23C26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Gada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pārskata</w:t>
            </w:r>
            <w:proofErr w:type="spellEnd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izdevumi</w:t>
            </w:r>
            <w:proofErr w:type="spellEnd"/>
          </w:p>
        </w:tc>
        <w:tc>
          <w:tcPr>
            <w:tcW w:w="1590" w:type="dxa"/>
          </w:tcPr>
          <w:p w14:paraId="2CEA4BE2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484</w:t>
            </w:r>
          </w:p>
        </w:tc>
        <w:tc>
          <w:tcPr>
            <w:tcW w:w="1559" w:type="dxa"/>
          </w:tcPr>
          <w:p w14:paraId="336DDAEB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242</w:t>
            </w:r>
          </w:p>
        </w:tc>
      </w:tr>
      <w:tr w:rsidR="007F5E5D" w:rsidRPr="007F5E5D" w14:paraId="7EEACF1B" w14:textId="77777777" w:rsidTr="00356F93">
        <w:tc>
          <w:tcPr>
            <w:tcW w:w="4501" w:type="dxa"/>
          </w:tcPr>
          <w:p w14:paraId="3E6BA9FD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 xml:space="preserve">Soda </w:t>
            </w:r>
            <w:proofErr w:type="spellStart"/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naudas</w:t>
            </w:r>
            <w:proofErr w:type="spellEnd"/>
          </w:p>
        </w:tc>
        <w:tc>
          <w:tcPr>
            <w:tcW w:w="1590" w:type="dxa"/>
          </w:tcPr>
          <w:p w14:paraId="43652A79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445</w:t>
            </w:r>
          </w:p>
        </w:tc>
        <w:tc>
          <w:tcPr>
            <w:tcW w:w="1559" w:type="dxa"/>
          </w:tcPr>
          <w:p w14:paraId="1B1B3C7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2504</w:t>
            </w:r>
          </w:p>
        </w:tc>
      </w:tr>
      <w:tr w:rsidR="007F5E5D" w:rsidRPr="007F5E5D" w14:paraId="1AB3B071" w14:textId="77777777" w:rsidTr="00356F93">
        <w:tc>
          <w:tcPr>
            <w:tcW w:w="4501" w:type="dxa"/>
          </w:tcPr>
          <w:p w14:paraId="11183C04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color w:val="000000"/>
                <w:sz w:val="20"/>
                <w:szCs w:val="20"/>
                <w:lang w:val="en" w:eastAsia="en"/>
              </w:rPr>
              <w:t>DALĪBAS MAKSA VĒLĒŠANĀS</w:t>
            </w:r>
          </w:p>
        </w:tc>
        <w:tc>
          <w:tcPr>
            <w:tcW w:w="1590" w:type="dxa"/>
          </w:tcPr>
          <w:p w14:paraId="69C32D02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0</w:t>
            </w:r>
          </w:p>
        </w:tc>
        <w:tc>
          <w:tcPr>
            <w:tcW w:w="1559" w:type="dxa"/>
          </w:tcPr>
          <w:p w14:paraId="7FA29178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1080</w:t>
            </w:r>
          </w:p>
        </w:tc>
      </w:tr>
      <w:tr w:rsidR="007F5E5D" w:rsidRPr="007F5E5D" w14:paraId="7CCD5115" w14:textId="77777777" w:rsidTr="00356F93">
        <w:tc>
          <w:tcPr>
            <w:tcW w:w="4501" w:type="dxa"/>
          </w:tcPr>
          <w:p w14:paraId="7A849EA9" w14:textId="77777777" w:rsidR="007F5E5D" w:rsidRPr="007F5E5D" w:rsidRDefault="007F5E5D" w:rsidP="007F5E5D">
            <w:pPr>
              <w:spacing w:line="288" w:lineRule="atLeast"/>
              <w:jc w:val="righ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proofErr w:type="spellStart"/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kopā</w:t>
            </w:r>
            <w:proofErr w:type="spellEnd"/>
          </w:p>
        </w:tc>
        <w:tc>
          <w:tcPr>
            <w:tcW w:w="1590" w:type="dxa"/>
          </w:tcPr>
          <w:p w14:paraId="4CC7C1C3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1735</w:t>
            </w:r>
          </w:p>
        </w:tc>
        <w:tc>
          <w:tcPr>
            <w:tcW w:w="1559" w:type="dxa"/>
          </w:tcPr>
          <w:p w14:paraId="26614629" w14:textId="77777777" w:rsidR="007F5E5D" w:rsidRPr="007F5E5D" w:rsidRDefault="007F5E5D" w:rsidP="007F5E5D">
            <w:pPr>
              <w:spacing w:line="288" w:lineRule="atLeast"/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</w:pPr>
            <w:r w:rsidRPr="007F5E5D">
              <w:rPr>
                <w:rFonts w:ascii="Cambria" w:eastAsia="Cambria" w:hAnsi="Cambria" w:cs="Times New Roman"/>
                <w:b/>
                <w:bCs/>
                <w:color w:val="000000"/>
                <w:sz w:val="20"/>
                <w:szCs w:val="20"/>
                <w:lang w:val="en" w:eastAsia="en"/>
              </w:rPr>
              <w:t>4046</w:t>
            </w:r>
          </w:p>
        </w:tc>
      </w:tr>
    </w:tbl>
    <w:p w14:paraId="6BAC89B0" w14:textId="77777777" w:rsidR="007F5E5D" w:rsidRPr="007F5E5D" w:rsidRDefault="007F5E5D" w:rsidP="007F5E5D">
      <w:pPr>
        <w:tabs>
          <w:tab w:val="right" w:pos="8306"/>
        </w:tabs>
        <w:spacing w:beforeLines="100" w:before="240" w:afterLines="100" w:after="24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Piezīme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Nr. 6</w:t>
      </w:r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ab/>
      </w:r>
    </w:p>
    <w:p w14:paraId="552B16E7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Darbinieku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vidējais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>skaits</w:t>
      </w:r>
      <w:proofErr w:type="spellEnd"/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                    2021. gads                    0             </w:t>
      </w:r>
    </w:p>
    <w:p w14:paraId="711A8065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b/>
          <w:bCs/>
          <w:color w:val="000000"/>
          <w:kern w:val="0"/>
          <w:sz w:val="20"/>
          <w:szCs w:val="20"/>
          <w:lang w:val="en" w:eastAsia="en"/>
          <w14:ligatures w14:val="none"/>
        </w:rPr>
        <w:t xml:space="preserve">                                                                            2022. gads                    0</w:t>
      </w:r>
    </w:p>
    <w:p w14:paraId="20BC92C9" w14:textId="77777777" w:rsidR="007F5E5D" w:rsidRPr="007F5E5D" w:rsidRDefault="007F5E5D" w:rsidP="007F5E5D">
      <w:pPr>
        <w:spacing w:after="0" w:line="288" w:lineRule="atLeast"/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</w:pP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>Pārskata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>gadā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 xml:space="preserve"> nav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>izmaksātās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>darba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>algas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0"/>
          <w:szCs w:val="20"/>
          <w:lang w:val="en" w:eastAsia="en"/>
          <w14:ligatures w14:val="none"/>
        </w:rPr>
        <w:t xml:space="preserve"> </w:t>
      </w:r>
    </w:p>
    <w:p w14:paraId="7D57F8AA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32EB952F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12C6F6A2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75F04E0F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1EEF91E8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67BD3FE1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62488955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</w:p>
    <w:p w14:paraId="13C95F9E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LSDSP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partijas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 </w:t>
      </w:r>
      <w:proofErr w:type="spellStart"/>
      <w:proofErr w:type="gramStart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priekšsēdētājs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  _</w:t>
      </w:r>
      <w:proofErr w:type="gramEnd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__________________________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Jānis</w:t>
      </w:r>
      <w:proofErr w:type="spellEnd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 </w:t>
      </w:r>
      <w:proofErr w:type="spellStart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Dinevičs</w:t>
      </w:r>
      <w:proofErr w:type="spellEnd"/>
    </w:p>
    <w:p w14:paraId="2F65ECCB" w14:textId="77777777" w:rsidR="007F5E5D" w:rsidRPr="007F5E5D" w:rsidRDefault="007F5E5D" w:rsidP="007F5E5D">
      <w:pPr>
        <w:spacing w:beforeLines="100" w:before="240" w:afterLines="100" w:after="240" w:line="288" w:lineRule="atLeast"/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</w:pPr>
      <w:proofErr w:type="gramStart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>2023.gada .</w:t>
      </w:r>
      <w:proofErr w:type="gramEnd"/>
      <w:r w:rsidRPr="007F5E5D">
        <w:rPr>
          <w:rFonts w:ascii="Cambria" w:eastAsia="Cambria" w:hAnsi="Cambria" w:cs="Times New Roman"/>
          <w:color w:val="000000"/>
          <w:kern w:val="0"/>
          <w:sz w:val="24"/>
          <w:szCs w:val="24"/>
          <w:lang w:val="en" w:eastAsia="en"/>
          <w14:ligatures w14:val="none"/>
        </w:rPr>
        <w:t xml:space="preserve"> 11aprīlī.</w:t>
      </w:r>
    </w:p>
    <w:p w14:paraId="5994851B" w14:textId="77777777" w:rsidR="00C26637" w:rsidRDefault="00C26637"/>
    <w:sectPr w:rsidR="00C26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5D"/>
    <w:rsid w:val="007F5E5D"/>
    <w:rsid w:val="00C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F4CEE"/>
  <w15:chartTrackingRefBased/>
  <w15:docId w15:val="{8DF59AA6-56B0-495F-B0BA-0219E9DF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5E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1918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Dagnis Reinsons</dc:creator>
  <cp:keywords/>
  <dc:description/>
  <cp:lastModifiedBy>Dagnis Reinsons</cp:lastModifiedBy>
  <cp:revision>1</cp:revision>
  <dcterms:created xsi:type="dcterms:W3CDTF">2023-04-10T13:34:00Z</dcterms:created>
  <dcterms:modified xsi:type="dcterms:W3CDTF">2023-04-10T13:35:00Z</dcterms:modified>
</cp:coreProperties>
</file>