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600"/>
        <w:gridCol w:w="5119"/>
      </w:tblGrid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Politiskā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parija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Liepāja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Kvadrātā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Reģ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Nr. 40008262335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Atmodas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bulvāris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14-60,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Liepāja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LV-3414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414"/>
        </w:trPr>
        <w:tc>
          <w:tcPr>
            <w:tcW w:w="9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100E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ZIŅOJUMS</w:t>
            </w:r>
          </w:p>
        </w:tc>
      </w:tr>
      <w:tr w:rsidR="00B100EB" w:rsidRPr="00B100EB" w:rsidTr="00B100EB">
        <w:trPr>
          <w:trHeight w:val="414"/>
        </w:trPr>
        <w:tc>
          <w:tcPr>
            <w:tcW w:w="9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  <w:tr w:rsidR="00B100EB" w:rsidRPr="00B100EB" w:rsidTr="00B100E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300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1.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Vispārīga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informācija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politisku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partiju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:</w:t>
            </w: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85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Nosaukums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Politiskā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Pr="00B100EB">
              <w:rPr>
                <w:rFonts w:ascii="Arial" w:eastAsia="Times New Roman" w:hAnsi="Arial" w:cs="Arial"/>
              </w:rPr>
              <w:t>Liepāja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kvadrātā</w:t>
            </w:r>
            <w:proofErr w:type="spellEnd"/>
            <w:r w:rsidRPr="00B100EB">
              <w:rPr>
                <w:rFonts w:ascii="Arial" w:eastAsia="Times New Roman" w:hAnsi="Arial" w:cs="Arial"/>
              </w:rPr>
              <w:t>”</w:t>
            </w:r>
          </w:p>
        </w:tc>
      </w:tr>
      <w:tr w:rsidR="00B100EB" w:rsidRPr="00B100EB" w:rsidTr="00B100E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Juridiskā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adrese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Atmodas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bulvāris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14-60, </w:t>
            </w:r>
            <w:proofErr w:type="spellStart"/>
            <w:r w:rsidRPr="00B100EB">
              <w:rPr>
                <w:rFonts w:ascii="Arial" w:eastAsia="Times New Roman" w:hAnsi="Arial" w:cs="Arial"/>
              </w:rPr>
              <w:t>Liepāja</w:t>
            </w:r>
            <w:proofErr w:type="spellEnd"/>
            <w:r w:rsidRPr="00B100EB">
              <w:rPr>
                <w:rFonts w:ascii="Arial" w:eastAsia="Times New Roman" w:hAnsi="Arial" w:cs="Arial"/>
              </w:rPr>
              <w:t>, LV3414</w:t>
            </w:r>
          </w:p>
        </w:tc>
      </w:tr>
      <w:tr w:rsidR="00B100EB" w:rsidRPr="00B100EB" w:rsidTr="00B100EB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Reģistrācijas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Nr.</w:t>
            </w:r>
          </w:p>
        </w:tc>
        <w:tc>
          <w:tcPr>
            <w:tcW w:w="5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>40008262335</w:t>
            </w:r>
          </w:p>
        </w:tc>
      </w:tr>
      <w:tr w:rsidR="00B100EB" w:rsidRPr="00B100EB" w:rsidTr="00B100EB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Reģistrācijas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datums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>14.03.17</w:t>
            </w:r>
          </w:p>
        </w:tc>
      </w:tr>
      <w:tr w:rsidR="00B100EB" w:rsidRPr="00B100EB" w:rsidTr="00B100EB">
        <w:trPr>
          <w:trHeight w:val="1508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Pārvaldes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institūcijas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locekļi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Glazunovs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Igors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loceklis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14/03/17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Hadarovičs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Jurijs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priekšsēdētājs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14/03/17 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Jakubovs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Vadims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loceklis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14/03/2017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Otaņķe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Ieva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loceklis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14/03/2017      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Petrenko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Jana,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loceklis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14/03/2017  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Veinberga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Ella,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valdes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loceklis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no 14/03/2017           </w:t>
            </w:r>
          </w:p>
        </w:tc>
      </w:tr>
      <w:tr w:rsidR="00B100EB" w:rsidRPr="00B100EB" w:rsidTr="00B100EB">
        <w:trPr>
          <w:trHeight w:val="1028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Svarīgākie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sasniegumi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pārskata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gadā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attīstības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perspektīvas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Politiskā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 w:rsidRPr="00B100EB">
              <w:rPr>
                <w:rFonts w:ascii="Arial" w:eastAsia="Times New Roman" w:hAnsi="Arial" w:cs="Arial"/>
              </w:rPr>
              <w:t>Liepāja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kvadrātā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” </w:t>
            </w:r>
            <w:proofErr w:type="spellStart"/>
            <w:r w:rsidRPr="00B100EB">
              <w:rPr>
                <w:rFonts w:ascii="Arial" w:eastAsia="Times New Roman" w:hAnsi="Arial" w:cs="Arial"/>
              </w:rPr>
              <w:t>piedalījas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pašvaldības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dzīve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aktivitātes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300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2.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Politiskās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mērķi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uzdevumi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: </w:t>
            </w:r>
          </w:p>
        </w:tc>
      </w:tr>
      <w:tr w:rsidR="00B100EB" w:rsidRPr="00B100EB" w:rsidTr="00B100E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2.1.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pamatmērķis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veicināt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labklājības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līmeņa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paaugstināšanu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arī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nodrošināt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sekmēt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B100EB">
              <w:rPr>
                <w:rFonts w:ascii="Arial" w:eastAsia="Times New Roman" w:hAnsi="Arial" w:cs="Arial"/>
              </w:rPr>
              <w:t>vides,</w:t>
            </w:r>
            <w:proofErr w:type="gram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izglītības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ekonomikas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kultūras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sporta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citu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sabiedriski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nozīmīgu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jomu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attīstību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Latvijas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Republikā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darbības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uzdevumi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2.2.1. </w:t>
            </w:r>
            <w:proofErr w:type="spellStart"/>
            <w:r w:rsidRPr="00B100EB">
              <w:rPr>
                <w:rFonts w:ascii="Arial" w:eastAsia="Times New Roman" w:hAnsi="Arial" w:cs="Arial"/>
              </w:rPr>
              <w:t>konsolidēt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dzīves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līmeņa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tās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kvalitātes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uzlabošanai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2.2.2.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paaugstināt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drošības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vidi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Latvijas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Republikā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2.2.3.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nodrošināt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katram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loceklim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līdzvērtīgas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attīstības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iespējas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Latvijas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Republikā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2.2.4. </w:t>
            </w:r>
            <w:proofErr w:type="spellStart"/>
            <w:r w:rsidRPr="00B100EB">
              <w:rPr>
                <w:rFonts w:ascii="Arial" w:eastAsia="Times New Roman" w:hAnsi="Arial" w:cs="Arial"/>
              </w:rPr>
              <w:t>aizstāvēt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valsts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tiesības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tiesiskās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intereses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2.2.5. </w:t>
            </w:r>
            <w:proofErr w:type="spellStart"/>
            <w:r w:rsidRPr="00B100EB">
              <w:rPr>
                <w:rFonts w:ascii="Arial" w:eastAsia="Times New Roman" w:hAnsi="Arial" w:cs="Arial"/>
              </w:rPr>
              <w:t>informēt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iedzīvotājus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</w:rPr>
              <w:t>aktuāliem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problēmu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jautājumiem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skar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ikvienu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locekli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daļu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no </w:t>
            </w:r>
            <w:proofErr w:type="spellStart"/>
            <w:r w:rsidRPr="00B100EB">
              <w:rPr>
                <w:rFonts w:ascii="Arial" w:eastAsia="Times New Roman" w:hAnsi="Arial" w:cs="Arial"/>
              </w:rPr>
              <w:t>tās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; 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2.2.6.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izstrādāt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vides,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izglītības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ekonomikas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kultūras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sporta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arī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citu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jomu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attīstības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programmas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piedalīties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to </w:t>
            </w:r>
            <w:proofErr w:type="spellStart"/>
            <w:r w:rsidRPr="00B100EB">
              <w:rPr>
                <w:rFonts w:ascii="Arial" w:eastAsia="Times New Roman" w:hAnsi="Arial" w:cs="Arial"/>
              </w:rPr>
              <w:t>īstenošanā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2.2.7.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iesaistīt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iedzīvotājus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sabiedriski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nozīmīgu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lēmumu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pieņemšanā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 2.2.8.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nodrošināt</w:t>
            </w:r>
            <w:proofErr w:type="spellEnd"/>
            <w:proofErr w:type="gramStart"/>
            <w:r w:rsidRPr="00B100EB">
              <w:rPr>
                <w:rFonts w:ascii="Arial" w:eastAsia="Times New Roman" w:hAnsi="Arial" w:cs="Arial"/>
              </w:rPr>
              <w:t xml:space="preserve">  </w:t>
            </w:r>
            <w:proofErr w:type="spellStart"/>
            <w:r w:rsidRPr="00B100EB">
              <w:rPr>
                <w:rFonts w:ascii="Arial" w:eastAsia="Times New Roman" w:hAnsi="Arial" w:cs="Arial"/>
              </w:rPr>
              <w:t>tiesisku</w:t>
            </w:r>
            <w:proofErr w:type="spellEnd"/>
            <w:proofErr w:type="gram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demokrātisku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profesionālu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valsts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pārvaldes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darbību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 2.3.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darbības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metodes</w:t>
            </w:r>
            <w:proofErr w:type="spellEnd"/>
            <w:r w:rsidRPr="00B100EB">
              <w:rPr>
                <w:rFonts w:ascii="Arial" w:eastAsia="Times New Roman" w:hAnsi="Arial" w:cs="Arial"/>
              </w:rPr>
              <w:t>: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 2.3.1. </w:t>
            </w:r>
            <w:proofErr w:type="spellStart"/>
            <w:r w:rsidRPr="00B100EB">
              <w:rPr>
                <w:rFonts w:ascii="Arial" w:eastAsia="Times New Roman" w:hAnsi="Arial" w:cs="Arial"/>
              </w:rPr>
              <w:t>veikt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politisko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darbību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 2.3.2.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piedalīties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vēlēšanu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kampaņā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izvirzot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deputātu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kandidātus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2.3.3. </w:t>
            </w:r>
            <w:proofErr w:type="spellStart"/>
            <w:r w:rsidRPr="00B100EB">
              <w:rPr>
                <w:rFonts w:ascii="Arial" w:eastAsia="Times New Roman" w:hAnsi="Arial" w:cs="Arial"/>
              </w:rPr>
              <w:t>īstenot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programmu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ievēlēto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deputātu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amatpersonu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starpniecību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2.3.4.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sadarboties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valsts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pārvaldes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institūciju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sniedzot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priekšlikumus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ierosinājumus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sekmē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mērķu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sasniegšanu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2.3.5.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iesaistīties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valsts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pārvaldes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institūciju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izveidē</w:t>
            </w:r>
            <w:proofErr w:type="spellEnd"/>
            <w:r w:rsidRPr="00B100EB">
              <w:rPr>
                <w:rFonts w:ascii="Arial" w:eastAsia="Times New Roman" w:hAnsi="Arial" w:cs="Arial"/>
              </w:rPr>
              <w:t>;</w:t>
            </w:r>
          </w:p>
        </w:tc>
      </w:tr>
      <w:tr w:rsidR="00B100EB" w:rsidRPr="00B100EB" w:rsidTr="00B100EB">
        <w:trPr>
          <w:trHeight w:val="285"/>
        </w:trPr>
        <w:tc>
          <w:tcPr>
            <w:tcW w:w="97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2.3.6. </w:t>
            </w:r>
            <w:proofErr w:type="spellStart"/>
            <w:proofErr w:type="gramStart"/>
            <w:r w:rsidRPr="00B100EB">
              <w:rPr>
                <w:rFonts w:ascii="Arial" w:eastAsia="Times New Roman" w:hAnsi="Arial" w:cs="Arial"/>
              </w:rPr>
              <w:t>informēt</w:t>
            </w:r>
            <w:proofErr w:type="spellEnd"/>
            <w:proofErr w:type="gram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sabiedrību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mērķiem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uzdevumiem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programmu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arī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sabiedriski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nozīmīgiem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procesiem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9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3.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Saimnieciskās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darbības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finansiālā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stāvokļa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analīze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:</w:t>
            </w:r>
          </w:p>
        </w:tc>
      </w:tr>
      <w:tr w:rsidR="00B100EB" w:rsidRPr="00B100EB" w:rsidTr="00B100EB">
        <w:trPr>
          <w:trHeight w:val="255"/>
        </w:trPr>
        <w:tc>
          <w:tcPr>
            <w:tcW w:w="9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B100EB" w:rsidRPr="00B100EB" w:rsidTr="00B100E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B100EB" w:rsidRPr="00B100EB" w:rsidTr="00B100EB">
        <w:trPr>
          <w:trHeight w:val="1703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B100EB">
              <w:rPr>
                <w:rFonts w:ascii="Arial" w:eastAsia="Times New Roman" w:hAnsi="Arial" w:cs="Arial"/>
              </w:rPr>
              <w:t>Politiskās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ieņēmumu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izdevumu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starpība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pārskata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periodā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sastāda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EUR 17</w:t>
            </w:r>
            <w:proofErr w:type="gramStart"/>
            <w:r w:rsidRPr="00B100EB">
              <w:rPr>
                <w:rFonts w:ascii="Arial" w:eastAsia="Times New Roman" w:hAnsi="Arial" w:cs="Arial"/>
              </w:rPr>
              <w:t>,19</w:t>
            </w:r>
            <w:proofErr w:type="gram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rezerves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fonds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pārskata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perioda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beigās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sastāda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EUR 34,48.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Politiskā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saņēmusi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ziedojumus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proofErr w:type="gramStart"/>
            <w:r w:rsidRPr="00B100EB">
              <w:rPr>
                <w:rFonts w:ascii="Arial" w:eastAsia="Times New Roman" w:hAnsi="Arial" w:cs="Arial"/>
              </w:rPr>
              <w:t>dāvinājumus</w:t>
            </w:r>
            <w:proofErr w:type="spellEnd"/>
            <w:r w:rsidRPr="00B100EB">
              <w:rPr>
                <w:rFonts w:ascii="Arial" w:eastAsia="Times New Roman" w:hAnsi="Arial" w:cs="Arial"/>
              </w:rPr>
              <w:t>,</w:t>
            </w:r>
            <w:proofErr w:type="gram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ko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uzrādījusi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ziņojumos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</w:rPr>
              <w:t>ziedojumiem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</w:rPr>
              <w:t>dāvinājumiem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Politiskajai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nav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cita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veida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saistības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kuras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nav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ietvertas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2019.gada </w:t>
            </w:r>
            <w:proofErr w:type="spellStart"/>
            <w:r w:rsidRPr="00B100EB">
              <w:rPr>
                <w:rFonts w:ascii="Arial" w:eastAsia="Times New Roman" w:hAnsi="Arial" w:cs="Arial"/>
              </w:rPr>
              <w:t>bilancē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Politiskajai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partījai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nav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nodokļu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parādu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tai </w:t>
            </w:r>
            <w:proofErr w:type="spellStart"/>
            <w:r w:rsidRPr="00B100EB">
              <w:rPr>
                <w:rFonts w:ascii="Arial" w:eastAsia="Times New Roman" w:hAnsi="Arial" w:cs="Arial"/>
              </w:rPr>
              <w:t>nav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algotu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darbinieku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Politiskā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partija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2019.gadā </w:t>
            </w:r>
            <w:proofErr w:type="spellStart"/>
            <w:r w:rsidRPr="00B100EB">
              <w:rPr>
                <w:rFonts w:ascii="Arial" w:eastAsia="Times New Roman" w:hAnsi="Arial" w:cs="Arial"/>
              </w:rPr>
              <w:t>nav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saņēmusi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B100EB">
              <w:rPr>
                <w:rFonts w:ascii="Arial" w:eastAsia="Times New Roman" w:hAnsi="Arial" w:cs="Arial"/>
              </w:rPr>
              <w:t>dotācijas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B100EB">
              <w:rPr>
                <w:rFonts w:ascii="Arial" w:eastAsia="Times New Roman" w:hAnsi="Arial" w:cs="Arial"/>
              </w:rPr>
              <w:t>vai</w:t>
            </w:r>
            <w:proofErr w:type="spellEnd"/>
            <w:proofErr w:type="gram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citu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fondu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līdzekļus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642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4.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Skaidrojumi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noteiktiem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bilances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ieņēmumu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un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izdevumu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pārskata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posteņiem</w:t>
            </w:r>
            <w:proofErr w:type="spellEnd"/>
            <w:r w:rsidRPr="00B100EB">
              <w:rPr>
                <w:rFonts w:ascii="Arial" w:eastAsia="Times New Roman" w:hAnsi="Arial" w:cs="Arial"/>
                <w:b/>
                <w:bCs/>
                <w:u w:val="single"/>
              </w:rPr>
              <w:t>:</w:t>
            </w:r>
          </w:p>
        </w:tc>
      </w:tr>
      <w:tr w:rsidR="00B100EB" w:rsidRPr="00B100EB" w:rsidTr="00B100EB">
        <w:trPr>
          <w:trHeight w:val="237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</w:tc>
      </w:tr>
      <w:tr w:rsidR="00B100EB" w:rsidRPr="00B100EB" w:rsidTr="00B100EB">
        <w:trPr>
          <w:trHeight w:val="762"/>
        </w:trPr>
        <w:tc>
          <w:tcPr>
            <w:tcW w:w="9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100EB">
              <w:rPr>
                <w:rFonts w:ascii="Arial" w:eastAsia="Times New Roman" w:hAnsi="Arial" w:cs="Arial"/>
              </w:rPr>
              <w:t xml:space="preserve">4.1. </w:t>
            </w:r>
            <w:proofErr w:type="spellStart"/>
            <w:proofErr w:type="gramStart"/>
            <w:r w:rsidRPr="00B100EB">
              <w:rPr>
                <w:rFonts w:ascii="Arial" w:eastAsia="Times New Roman" w:hAnsi="Arial" w:cs="Arial"/>
              </w:rPr>
              <w:t>informācija</w:t>
            </w:r>
            <w:proofErr w:type="spellEnd"/>
            <w:proofErr w:type="gramEnd"/>
            <w:r w:rsidRPr="00B100EB">
              <w:rPr>
                <w:rFonts w:ascii="Arial" w:eastAsia="Times New Roman" w:hAnsi="Arial" w:cs="Arial"/>
              </w:rPr>
              <w:t xml:space="preserve"> par </w:t>
            </w:r>
            <w:proofErr w:type="spellStart"/>
            <w:r w:rsidRPr="00B100EB">
              <w:rPr>
                <w:rFonts w:ascii="Arial" w:eastAsia="Times New Roman" w:hAnsi="Arial" w:cs="Arial"/>
              </w:rPr>
              <w:t>fondiem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: 2019.gada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rezultāts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ir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pozitīvs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100EB">
              <w:rPr>
                <w:rFonts w:ascii="Arial" w:eastAsia="Times New Roman" w:hAnsi="Arial" w:cs="Arial"/>
              </w:rPr>
              <w:t>ieņēmumi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pārsniedz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izdevumus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par 17,19 euro, </w:t>
            </w:r>
            <w:proofErr w:type="spellStart"/>
            <w:r w:rsidRPr="00B100EB">
              <w:rPr>
                <w:rFonts w:ascii="Arial" w:eastAsia="Times New Roman" w:hAnsi="Arial" w:cs="Arial"/>
              </w:rPr>
              <w:t>kuri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novirzīti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uz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rezeves</w:t>
            </w:r>
            <w:proofErr w:type="spellEnd"/>
            <w:r w:rsidRPr="00B100E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</w:rPr>
              <w:t>fondiem</w:t>
            </w:r>
            <w:proofErr w:type="spellEnd"/>
            <w:r w:rsidRPr="00B100EB">
              <w:rPr>
                <w:rFonts w:ascii="Arial" w:eastAsia="Times New Roman" w:hAnsi="Arial" w:cs="Arial"/>
              </w:rPr>
              <w:t>.</w:t>
            </w: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00EB" w:rsidRPr="00B100EB" w:rsidTr="00B100EB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Valdes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priekšsēdētājs</w:t>
            </w:r>
            <w:proofErr w:type="spellEnd"/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0EB" w:rsidRPr="00B100EB" w:rsidRDefault="00B100EB" w:rsidP="00B100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Jurijs</w:t>
            </w:r>
            <w:proofErr w:type="spellEnd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100EB">
              <w:rPr>
                <w:rFonts w:ascii="Arial" w:eastAsia="Times New Roman" w:hAnsi="Arial" w:cs="Arial"/>
                <w:sz w:val="20"/>
                <w:szCs w:val="20"/>
              </w:rPr>
              <w:t>Hadarovčs</w:t>
            </w:r>
            <w:proofErr w:type="spellEnd"/>
          </w:p>
        </w:tc>
      </w:tr>
    </w:tbl>
    <w:p w:rsidR="0069525B" w:rsidRDefault="00B100EB"/>
    <w:sectPr w:rsidR="0069525B" w:rsidSect="00D31F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0EB"/>
    <w:rsid w:val="00017C00"/>
    <w:rsid w:val="003B19DC"/>
    <w:rsid w:val="00B100EB"/>
    <w:rsid w:val="00D3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31F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>Grizli777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BHTgram01</dc:creator>
  <cp:lastModifiedBy>BHTgram01</cp:lastModifiedBy>
  <cp:revision>1</cp:revision>
  <dcterms:created xsi:type="dcterms:W3CDTF">2020-03-31T11:29:00Z</dcterms:created>
  <dcterms:modified xsi:type="dcterms:W3CDTF">2020-03-31T11:30:00Z</dcterms:modified>
</cp:coreProperties>
</file>