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DDF" w:rsidRPr="00731DDF" w:rsidRDefault="00731DDF" w:rsidP="00731DDF">
      <w:pPr>
        <w:pStyle w:val="BodyText"/>
        <w:spacing w:after="120"/>
        <w:jc w:val="left"/>
        <w:rPr>
          <w:rFonts w:ascii="Times New Roman" w:hAnsi="Times New Roman"/>
          <w:b w:val="0"/>
          <w:i w:val="0"/>
          <w:sz w:val="24"/>
          <w:szCs w:val="24"/>
        </w:rPr>
      </w:pPr>
    </w:p>
    <w:p w:rsidR="00731DDF" w:rsidRPr="00731DDF" w:rsidRDefault="00731DDF" w:rsidP="00731DDF">
      <w:pPr>
        <w:spacing w:after="120"/>
        <w:jc w:val="center"/>
        <w:rPr>
          <w:rFonts w:ascii="Times New Roman" w:hAnsi="Times New Roman" w:cs="Times New Roman"/>
          <w:b/>
          <w:sz w:val="24"/>
          <w:szCs w:val="24"/>
          <w:lang w:val="lv-LV"/>
        </w:rPr>
      </w:pPr>
      <w:r w:rsidRPr="00731DDF">
        <w:rPr>
          <w:rFonts w:ascii="Times New Roman" w:hAnsi="Times New Roman" w:cs="Times New Roman"/>
          <w:b/>
          <w:sz w:val="24"/>
          <w:szCs w:val="24"/>
          <w:lang w:val="lv-LV"/>
        </w:rPr>
        <w:t>Ziņojums</w:t>
      </w:r>
    </w:p>
    <w:p w:rsidR="00731DDF" w:rsidRPr="00731DDF" w:rsidRDefault="00731DDF" w:rsidP="00731DDF">
      <w:pPr>
        <w:spacing w:before="120" w:after="120"/>
        <w:rPr>
          <w:rFonts w:ascii="Times New Roman" w:hAnsi="Times New Roman" w:cs="Times New Roman"/>
          <w:b/>
          <w:sz w:val="24"/>
          <w:szCs w:val="24"/>
          <w:lang w:val="lv-LV"/>
        </w:rPr>
      </w:pPr>
      <w:r w:rsidRPr="00731DDF">
        <w:rPr>
          <w:rFonts w:ascii="Times New Roman" w:hAnsi="Times New Roman" w:cs="Times New Roman"/>
          <w:b/>
          <w:sz w:val="24"/>
          <w:szCs w:val="24"/>
          <w:lang w:val="lv-LV"/>
        </w:rPr>
        <w:t>1.Ziņas par organizāciju</w:t>
      </w:r>
    </w:p>
    <w:p w:rsidR="00731DDF" w:rsidRPr="00731DDF" w:rsidRDefault="00731DDF" w:rsidP="00025538">
      <w:pPr>
        <w:spacing w:after="0" w:line="240" w:lineRule="auto"/>
        <w:ind w:left="3600" w:right="-284" w:hanging="3600"/>
        <w:rPr>
          <w:rFonts w:ascii="Times New Roman" w:hAnsi="Times New Roman" w:cs="Times New Roman"/>
          <w:b/>
          <w:sz w:val="24"/>
          <w:szCs w:val="24"/>
          <w:lang w:val="lv-LV"/>
        </w:rPr>
      </w:pPr>
      <w:r w:rsidRPr="00731DDF">
        <w:rPr>
          <w:rFonts w:ascii="Times New Roman" w:hAnsi="Times New Roman" w:cs="Times New Roman"/>
          <w:i/>
          <w:sz w:val="24"/>
          <w:szCs w:val="24"/>
          <w:lang w:val="lv-LV"/>
        </w:rPr>
        <w:t>Organizācijas  nosaukums</w:t>
      </w:r>
      <w:r w:rsidRPr="00731DDF">
        <w:rPr>
          <w:rFonts w:ascii="Times New Roman" w:hAnsi="Times New Roman" w:cs="Times New Roman"/>
          <w:b/>
          <w:i/>
          <w:sz w:val="24"/>
          <w:szCs w:val="24"/>
          <w:lang w:val="lv-LV"/>
        </w:rPr>
        <w:tab/>
      </w:r>
      <w:r w:rsidRPr="00731DDF">
        <w:rPr>
          <w:rFonts w:ascii="Times New Roman" w:hAnsi="Times New Roman" w:cs="Times New Roman"/>
          <w:b/>
          <w:bCs/>
          <w:sz w:val="24"/>
          <w:szCs w:val="24"/>
          <w:lang w:val="lv-LV"/>
        </w:rPr>
        <w:t>Latvijas Atdzimšanas Partija</w:t>
      </w:r>
    </w:p>
    <w:p w:rsidR="00731DDF" w:rsidRPr="00731DDF" w:rsidRDefault="00731DDF" w:rsidP="00025538">
      <w:pPr>
        <w:spacing w:after="0" w:line="240" w:lineRule="auto"/>
        <w:ind w:right="-284"/>
        <w:jc w:val="both"/>
        <w:rPr>
          <w:rFonts w:ascii="Times New Roman" w:hAnsi="Times New Roman" w:cs="Times New Roman"/>
          <w:sz w:val="24"/>
          <w:szCs w:val="24"/>
          <w:lang w:val="lv-LV"/>
        </w:rPr>
      </w:pPr>
      <w:r w:rsidRPr="00731DDF">
        <w:rPr>
          <w:rFonts w:ascii="Times New Roman" w:hAnsi="Times New Roman" w:cs="Times New Roman"/>
          <w:i/>
          <w:sz w:val="24"/>
          <w:szCs w:val="24"/>
          <w:lang w:val="lv-LV"/>
        </w:rPr>
        <w:t xml:space="preserve">Uzņēmējdarbības forma </w:t>
      </w:r>
      <w:r w:rsidRPr="00731DDF">
        <w:rPr>
          <w:rFonts w:ascii="Times New Roman" w:hAnsi="Times New Roman" w:cs="Times New Roman"/>
          <w:i/>
          <w:sz w:val="24"/>
          <w:szCs w:val="24"/>
          <w:lang w:val="lv-LV"/>
        </w:rPr>
        <w:tab/>
      </w:r>
      <w:r w:rsidRPr="00731DDF">
        <w:rPr>
          <w:rFonts w:ascii="Times New Roman" w:hAnsi="Times New Roman" w:cs="Times New Roman"/>
          <w:i/>
          <w:sz w:val="24"/>
          <w:szCs w:val="24"/>
          <w:lang w:val="lv-LV"/>
        </w:rPr>
        <w:tab/>
      </w:r>
      <w:r w:rsidRPr="00731DDF">
        <w:rPr>
          <w:rFonts w:ascii="Times New Roman" w:hAnsi="Times New Roman" w:cs="Times New Roman"/>
          <w:b/>
          <w:sz w:val="24"/>
          <w:szCs w:val="24"/>
          <w:lang w:val="lv-LV"/>
        </w:rPr>
        <w:t>Politiska partija</w:t>
      </w:r>
    </w:p>
    <w:p w:rsidR="00731DDF" w:rsidRPr="00731DDF" w:rsidRDefault="00731DDF" w:rsidP="00025538">
      <w:pPr>
        <w:spacing w:after="0" w:line="240" w:lineRule="auto"/>
        <w:ind w:right="-284"/>
        <w:jc w:val="both"/>
        <w:rPr>
          <w:rFonts w:ascii="Times New Roman" w:hAnsi="Times New Roman" w:cs="Times New Roman"/>
          <w:b/>
          <w:sz w:val="24"/>
          <w:szCs w:val="24"/>
          <w:lang w:val="lv-LV"/>
        </w:rPr>
      </w:pPr>
      <w:r w:rsidRPr="00731DDF">
        <w:rPr>
          <w:rFonts w:ascii="Times New Roman" w:hAnsi="Times New Roman" w:cs="Times New Roman"/>
          <w:i/>
          <w:sz w:val="24"/>
          <w:szCs w:val="24"/>
          <w:lang w:val="lv-LV"/>
        </w:rPr>
        <w:t>Reģistra Nr.,datums</w:t>
      </w:r>
      <w:r w:rsidRPr="00731DDF">
        <w:rPr>
          <w:rFonts w:ascii="Times New Roman" w:hAnsi="Times New Roman" w:cs="Times New Roman"/>
          <w:i/>
          <w:sz w:val="24"/>
          <w:szCs w:val="24"/>
          <w:lang w:val="lv-LV"/>
        </w:rPr>
        <w:tab/>
      </w:r>
      <w:r w:rsidRPr="00731DDF">
        <w:rPr>
          <w:rFonts w:ascii="Times New Roman" w:hAnsi="Times New Roman" w:cs="Times New Roman"/>
          <w:i/>
          <w:sz w:val="24"/>
          <w:szCs w:val="24"/>
          <w:lang w:val="lv-LV"/>
        </w:rPr>
        <w:tab/>
      </w:r>
      <w:r w:rsidRPr="00731DDF">
        <w:rPr>
          <w:rFonts w:ascii="Times New Roman" w:hAnsi="Times New Roman" w:cs="Times New Roman"/>
          <w:i/>
          <w:sz w:val="24"/>
          <w:szCs w:val="24"/>
          <w:lang w:val="lv-LV"/>
        </w:rPr>
        <w:tab/>
      </w:r>
      <w:r w:rsidRPr="00731DDF">
        <w:rPr>
          <w:rFonts w:ascii="Times New Roman" w:hAnsi="Times New Roman" w:cs="Times New Roman"/>
          <w:b/>
          <w:color w:val="000000"/>
          <w:sz w:val="24"/>
          <w:szCs w:val="24"/>
          <w:lang w:val="lv-LV"/>
        </w:rPr>
        <w:t>40008045297</w:t>
      </w:r>
      <w:r w:rsidRPr="00731DDF">
        <w:rPr>
          <w:rFonts w:ascii="Times New Roman" w:hAnsi="Times New Roman" w:cs="Times New Roman"/>
          <w:b/>
          <w:sz w:val="24"/>
          <w:szCs w:val="24"/>
          <w:lang w:val="lv-LV"/>
        </w:rPr>
        <w:t>, Rīgā 03.07.1998.</w:t>
      </w:r>
    </w:p>
    <w:p w:rsidR="00731DDF" w:rsidRPr="00731DDF" w:rsidRDefault="00731DDF" w:rsidP="00025538">
      <w:pPr>
        <w:spacing w:after="0" w:line="240" w:lineRule="auto"/>
        <w:ind w:left="3600" w:hanging="3600"/>
        <w:jc w:val="both"/>
        <w:rPr>
          <w:rFonts w:ascii="Times New Roman" w:hAnsi="Times New Roman" w:cs="Times New Roman"/>
          <w:b/>
          <w:sz w:val="24"/>
          <w:szCs w:val="24"/>
          <w:lang w:val="lv-LV"/>
        </w:rPr>
      </w:pPr>
      <w:r w:rsidRPr="00731DDF">
        <w:rPr>
          <w:rFonts w:ascii="Times New Roman" w:hAnsi="Times New Roman" w:cs="Times New Roman"/>
          <w:i/>
          <w:sz w:val="24"/>
          <w:szCs w:val="24"/>
          <w:lang w:val="lv-LV"/>
        </w:rPr>
        <w:t xml:space="preserve">Adrese </w:t>
      </w:r>
      <w:r w:rsidRPr="00731DDF">
        <w:rPr>
          <w:rFonts w:ascii="Times New Roman" w:hAnsi="Times New Roman" w:cs="Times New Roman"/>
          <w:i/>
          <w:sz w:val="24"/>
          <w:szCs w:val="24"/>
          <w:lang w:val="lv-LV"/>
        </w:rPr>
        <w:tab/>
      </w:r>
      <w:r w:rsidRPr="00731DDF">
        <w:rPr>
          <w:rFonts w:ascii="Times New Roman" w:hAnsi="Times New Roman" w:cs="Times New Roman"/>
          <w:b/>
          <w:sz w:val="24"/>
          <w:szCs w:val="24"/>
          <w:lang w:val="lv-LV"/>
        </w:rPr>
        <w:t>R. Blaumaņa iela1B, Sigulda, Siguldasnov., LV-2150</w:t>
      </w:r>
    </w:p>
    <w:p w:rsidR="00731DDF" w:rsidRPr="00731DDF" w:rsidRDefault="00731DDF" w:rsidP="00025538">
      <w:pPr>
        <w:spacing w:after="0" w:line="240" w:lineRule="auto"/>
        <w:ind w:left="3600" w:hanging="3600"/>
        <w:jc w:val="both"/>
        <w:rPr>
          <w:rFonts w:ascii="Times New Roman" w:hAnsi="Times New Roman" w:cs="Times New Roman"/>
          <w:b/>
          <w:sz w:val="24"/>
          <w:szCs w:val="24"/>
          <w:lang w:val="lv-LV"/>
        </w:rPr>
      </w:pPr>
      <w:r w:rsidRPr="00731DDF">
        <w:rPr>
          <w:rFonts w:ascii="Times New Roman" w:hAnsi="Times New Roman" w:cs="Times New Roman"/>
          <w:i/>
          <w:sz w:val="24"/>
          <w:szCs w:val="24"/>
          <w:lang w:val="lv-LV"/>
        </w:rPr>
        <w:t>Nozare</w:t>
      </w:r>
      <w:r w:rsidRPr="00731DDF">
        <w:rPr>
          <w:rFonts w:ascii="Times New Roman" w:hAnsi="Times New Roman" w:cs="Times New Roman"/>
          <w:i/>
          <w:sz w:val="24"/>
          <w:szCs w:val="24"/>
          <w:lang w:val="lv-LV"/>
        </w:rPr>
        <w:tab/>
      </w:r>
      <w:r w:rsidRPr="00731DDF">
        <w:rPr>
          <w:rFonts w:ascii="Times New Roman" w:hAnsi="Times New Roman" w:cs="Times New Roman"/>
          <w:b/>
          <w:sz w:val="24"/>
          <w:szCs w:val="24"/>
          <w:lang w:val="lv-LV"/>
        </w:rPr>
        <w:t>Partijas, NACE 94.92 Politisko organizāciju darbība</w:t>
      </w:r>
    </w:p>
    <w:p w:rsidR="00731DDF" w:rsidRPr="00731DDF" w:rsidRDefault="00731DDF" w:rsidP="00025538">
      <w:pPr>
        <w:spacing w:after="0" w:line="240" w:lineRule="auto"/>
        <w:jc w:val="both"/>
        <w:rPr>
          <w:rFonts w:ascii="Times New Roman" w:hAnsi="Times New Roman" w:cs="Times New Roman"/>
          <w:sz w:val="24"/>
          <w:szCs w:val="24"/>
          <w:lang w:val="lv-LV"/>
        </w:rPr>
      </w:pPr>
      <w:r w:rsidRPr="00731DDF">
        <w:rPr>
          <w:rFonts w:ascii="Times New Roman" w:hAnsi="Times New Roman" w:cs="Times New Roman"/>
          <w:i/>
          <w:sz w:val="24"/>
          <w:szCs w:val="24"/>
          <w:lang w:val="lv-LV"/>
        </w:rPr>
        <w:t>Valde</w:t>
      </w:r>
      <w:r w:rsidRPr="00731DDF">
        <w:rPr>
          <w:rFonts w:ascii="Times New Roman" w:hAnsi="Times New Roman" w:cs="Times New Roman"/>
          <w:i/>
          <w:sz w:val="24"/>
          <w:szCs w:val="24"/>
          <w:lang w:val="lv-LV"/>
        </w:rPr>
        <w:tab/>
      </w:r>
      <w:r w:rsidRPr="00731DDF">
        <w:rPr>
          <w:rFonts w:ascii="Times New Roman" w:hAnsi="Times New Roman" w:cs="Times New Roman"/>
          <w:i/>
          <w:sz w:val="24"/>
          <w:szCs w:val="24"/>
          <w:lang w:val="lv-LV"/>
        </w:rPr>
        <w:tab/>
      </w:r>
      <w:r w:rsidRPr="00731DDF">
        <w:rPr>
          <w:rFonts w:ascii="Times New Roman" w:hAnsi="Times New Roman" w:cs="Times New Roman"/>
          <w:i/>
          <w:sz w:val="24"/>
          <w:szCs w:val="24"/>
          <w:lang w:val="lv-LV"/>
        </w:rPr>
        <w:tab/>
      </w:r>
      <w:r w:rsidRPr="00731DDF">
        <w:rPr>
          <w:rFonts w:ascii="Times New Roman" w:hAnsi="Times New Roman" w:cs="Times New Roman"/>
          <w:i/>
          <w:sz w:val="24"/>
          <w:szCs w:val="24"/>
          <w:lang w:val="lv-LV"/>
        </w:rPr>
        <w:tab/>
      </w:r>
      <w:r w:rsidR="00C6589A">
        <w:rPr>
          <w:rFonts w:ascii="Times New Roman" w:hAnsi="Times New Roman" w:cs="Times New Roman"/>
          <w:sz w:val="24"/>
          <w:szCs w:val="24"/>
          <w:lang w:val="lv-LV"/>
        </w:rPr>
        <w:tab/>
      </w:r>
    </w:p>
    <w:p w:rsidR="00731DDF" w:rsidRPr="00731DDF" w:rsidRDefault="00731DDF" w:rsidP="00025538">
      <w:pPr>
        <w:spacing w:after="0" w:line="240" w:lineRule="auto"/>
        <w:ind w:left="2880" w:firstLine="720"/>
        <w:jc w:val="both"/>
        <w:rPr>
          <w:rFonts w:ascii="Times New Roman" w:hAnsi="Times New Roman" w:cs="Times New Roman"/>
          <w:sz w:val="24"/>
          <w:szCs w:val="24"/>
          <w:lang w:val="lv-LV"/>
        </w:rPr>
      </w:pPr>
      <w:r w:rsidRPr="00731DDF">
        <w:rPr>
          <w:rFonts w:ascii="Times New Roman" w:hAnsi="Times New Roman" w:cs="Times New Roman"/>
          <w:sz w:val="24"/>
          <w:szCs w:val="24"/>
          <w:lang w:val="lv-LV"/>
        </w:rPr>
        <w:t>Andris Rubins</w:t>
      </w:r>
    </w:p>
    <w:p w:rsidR="00737FCC" w:rsidRDefault="00731DDF" w:rsidP="00025538">
      <w:pPr>
        <w:spacing w:after="0" w:line="240" w:lineRule="auto"/>
        <w:ind w:left="2880" w:firstLine="720"/>
        <w:jc w:val="both"/>
        <w:rPr>
          <w:rFonts w:ascii="Times New Roman" w:hAnsi="Times New Roman" w:cs="Times New Roman"/>
          <w:sz w:val="24"/>
          <w:szCs w:val="24"/>
          <w:lang w:val="lv-LV"/>
        </w:rPr>
      </w:pPr>
      <w:r w:rsidRPr="00731DDF">
        <w:rPr>
          <w:rFonts w:ascii="Times New Roman" w:hAnsi="Times New Roman" w:cs="Times New Roman"/>
          <w:sz w:val="24"/>
          <w:szCs w:val="24"/>
          <w:lang w:val="lv-LV"/>
        </w:rPr>
        <w:t>Jānis Zīle</w:t>
      </w:r>
    </w:p>
    <w:p w:rsidR="00731DDF" w:rsidRPr="00731DDF" w:rsidRDefault="00737FCC" w:rsidP="00025538">
      <w:pPr>
        <w:spacing w:after="0" w:line="240" w:lineRule="auto"/>
        <w:ind w:left="2880" w:firstLine="720"/>
        <w:jc w:val="both"/>
        <w:rPr>
          <w:rFonts w:ascii="Times New Roman" w:hAnsi="Times New Roman" w:cs="Times New Roman"/>
          <w:b/>
          <w:i/>
          <w:sz w:val="24"/>
          <w:szCs w:val="24"/>
          <w:lang w:val="lv-LV"/>
        </w:rPr>
      </w:pPr>
      <w:r>
        <w:rPr>
          <w:rFonts w:ascii="Times New Roman" w:hAnsi="Times New Roman" w:cs="Times New Roman"/>
          <w:sz w:val="24"/>
          <w:szCs w:val="24"/>
          <w:lang w:val="lv-LV"/>
        </w:rPr>
        <w:t>Silvestrs Rubins</w:t>
      </w:r>
      <w:r w:rsidR="00731DDF" w:rsidRPr="00731DDF">
        <w:rPr>
          <w:rFonts w:ascii="Times New Roman" w:hAnsi="Times New Roman" w:cs="Times New Roman"/>
          <w:sz w:val="24"/>
          <w:szCs w:val="24"/>
          <w:lang w:val="lv-LV"/>
        </w:rPr>
        <w:tab/>
      </w:r>
      <w:r w:rsidR="00731DDF" w:rsidRPr="00731DDF">
        <w:rPr>
          <w:rFonts w:ascii="Times New Roman" w:hAnsi="Times New Roman" w:cs="Times New Roman"/>
          <w:sz w:val="24"/>
          <w:szCs w:val="24"/>
          <w:lang w:val="lv-LV"/>
        </w:rPr>
        <w:tab/>
      </w:r>
      <w:r w:rsidR="00731DDF" w:rsidRPr="00731DDF">
        <w:rPr>
          <w:rFonts w:ascii="Times New Roman" w:hAnsi="Times New Roman" w:cs="Times New Roman"/>
          <w:sz w:val="24"/>
          <w:szCs w:val="24"/>
          <w:lang w:val="lv-LV"/>
        </w:rPr>
        <w:tab/>
      </w:r>
      <w:r w:rsidR="00731DDF" w:rsidRPr="00731DDF">
        <w:rPr>
          <w:rFonts w:ascii="Times New Roman" w:hAnsi="Times New Roman" w:cs="Times New Roman"/>
          <w:sz w:val="24"/>
          <w:szCs w:val="24"/>
          <w:lang w:val="lv-LV"/>
        </w:rPr>
        <w:tab/>
      </w:r>
      <w:r w:rsidR="00731DDF" w:rsidRPr="00731DDF">
        <w:rPr>
          <w:rFonts w:ascii="Times New Roman" w:hAnsi="Times New Roman" w:cs="Times New Roman"/>
          <w:i/>
          <w:sz w:val="24"/>
          <w:szCs w:val="24"/>
          <w:lang w:val="lv-LV"/>
        </w:rPr>
        <w:tab/>
      </w:r>
      <w:r w:rsidR="00731DDF" w:rsidRPr="00731DDF">
        <w:rPr>
          <w:rFonts w:ascii="Times New Roman" w:hAnsi="Times New Roman" w:cs="Times New Roman"/>
          <w:i/>
          <w:sz w:val="24"/>
          <w:szCs w:val="24"/>
          <w:lang w:val="lv-LV"/>
        </w:rPr>
        <w:tab/>
      </w:r>
      <w:r w:rsidR="00731DDF" w:rsidRPr="00731DDF">
        <w:rPr>
          <w:rFonts w:ascii="Times New Roman" w:hAnsi="Times New Roman" w:cs="Times New Roman"/>
          <w:i/>
          <w:sz w:val="24"/>
          <w:szCs w:val="24"/>
          <w:lang w:val="lv-LV"/>
        </w:rPr>
        <w:tab/>
      </w:r>
      <w:r w:rsidR="00731DDF" w:rsidRPr="00731DDF">
        <w:rPr>
          <w:rFonts w:ascii="Times New Roman" w:hAnsi="Times New Roman" w:cs="Times New Roman"/>
          <w:i/>
          <w:sz w:val="24"/>
          <w:szCs w:val="24"/>
          <w:lang w:val="lv-LV"/>
        </w:rPr>
        <w:tab/>
      </w:r>
      <w:r w:rsidR="00731DDF" w:rsidRPr="00731DDF">
        <w:rPr>
          <w:rFonts w:ascii="Times New Roman" w:hAnsi="Times New Roman" w:cs="Times New Roman"/>
          <w:b/>
          <w:sz w:val="24"/>
          <w:szCs w:val="24"/>
          <w:lang w:val="lv-LV"/>
        </w:rPr>
        <w:tab/>
      </w:r>
      <w:r w:rsidR="00731DDF" w:rsidRPr="00731DDF">
        <w:rPr>
          <w:rFonts w:ascii="Times New Roman" w:hAnsi="Times New Roman" w:cs="Times New Roman"/>
          <w:b/>
          <w:sz w:val="24"/>
          <w:szCs w:val="24"/>
          <w:lang w:val="lv-LV"/>
        </w:rPr>
        <w:tab/>
      </w:r>
    </w:p>
    <w:p w:rsidR="00731DDF" w:rsidRPr="00731DDF" w:rsidRDefault="00731DDF" w:rsidP="00731DDF">
      <w:pPr>
        <w:spacing w:after="120"/>
        <w:jc w:val="both"/>
        <w:rPr>
          <w:rFonts w:ascii="Times New Roman" w:hAnsi="Times New Roman" w:cs="Times New Roman"/>
          <w:b/>
          <w:sz w:val="24"/>
          <w:szCs w:val="24"/>
          <w:lang w:val="lv-LV"/>
        </w:rPr>
      </w:pPr>
      <w:r w:rsidRPr="00731DDF">
        <w:rPr>
          <w:rFonts w:ascii="Times New Roman" w:hAnsi="Times New Roman" w:cs="Times New Roman"/>
          <w:i/>
          <w:sz w:val="24"/>
          <w:szCs w:val="24"/>
          <w:lang w:val="lv-LV"/>
        </w:rPr>
        <w:t xml:space="preserve">Pārskata  gads    </w:t>
      </w:r>
      <w:r w:rsidRPr="00731DDF">
        <w:rPr>
          <w:rFonts w:ascii="Times New Roman" w:hAnsi="Times New Roman" w:cs="Times New Roman"/>
          <w:b/>
          <w:sz w:val="24"/>
          <w:szCs w:val="24"/>
          <w:lang w:val="lv-LV"/>
        </w:rPr>
        <w:t xml:space="preserve">                               </w:t>
      </w:r>
      <w:r w:rsidR="00737FCC">
        <w:rPr>
          <w:rFonts w:ascii="Times New Roman" w:hAnsi="Times New Roman" w:cs="Times New Roman"/>
          <w:b/>
          <w:sz w:val="24"/>
          <w:szCs w:val="24"/>
          <w:lang w:val="lv-LV"/>
        </w:rPr>
        <w:t>(01.01.2024 - 31.12.2024</w:t>
      </w:r>
      <w:r w:rsidRPr="00731DDF">
        <w:rPr>
          <w:rFonts w:ascii="Times New Roman" w:hAnsi="Times New Roman" w:cs="Times New Roman"/>
          <w:b/>
          <w:sz w:val="24"/>
          <w:szCs w:val="24"/>
          <w:lang w:val="lv-LV"/>
        </w:rPr>
        <w:t>)</w:t>
      </w:r>
    </w:p>
    <w:p w:rsidR="00731DDF" w:rsidRPr="00731DDF" w:rsidRDefault="00731DDF" w:rsidP="00731DDF">
      <w:pPr>
        <w:jc w:val="both"/>
        <w:rPr>
          <w:rFonts w:ascii="Times New Roman" w:hAnsi="Times New Roman" w:cs="Times New Roman"/>
          <w:b/>
          <w:i/>
          <w:sz w:val="24"/>
          <w:szCs w:val="24"/>
          <w:lang w:val="lv-LV"/>
        </w:rPr>
      </w:pPr>
      <w:r w:rsidRPr="00731DDF">
        <w:rPr>
          <w:rFonts w:ascii="Times New Roman" w:hAnsi="Times New Roman" w:cs="Times New Roman"/>
          <w:b/>
          <w:sz w:val="24"/>
          <w:szCs w:val="24"/>
          <w:lang w:val="lv-LV"/>
        </w:rPr>
        <w:t xml:space="preserve">   2. Darbības veids, mērķi</w:t>
      </w:r>
    </w:p>
    <w:p w:rsidR="00731DDF" w:rsidRPr="00731DDF" w:rsidRDefault="00731DDF" w:rsidP="00731DDF">
      <w:pPr>
        <w:jc w:val="both"/>
        <w:rPr>
          <w:rFonts w:ascii="Times New Roman" w:hAnsi="Times New Roman" w:cs="Times New Roman"/>
          <w:sz w:val="24"/>
          <w:szCs w:val="24"/>
          <w:lang w:val="lv-LV"/>
        </w:rPr>
      </w:pPr>
      <w:r w:rsidRPr="00731DDF">
        <w:rPr>
          <w:rFonts w:ascii="Times New Roman" w:hAnsi="Times New Roman" w:cs="Times New Roman"/>
          <w:sz w:val="24"/>
          <w:szCs w:val="24"/>
          <w:lang w:val="lv-LV"/>
        </w:rPr>
        <w:tab/>
        <w:t>Politiska darbība. Mērķis ir latviešu tautas nacionālo, ekonomisko, sociālo, kultūras un citu vitālo interešu aizstāvība.Uzdevums-tādas valsts politikas realizēšana, kas sekmē mērķa sasniegšanu. Metodes-visas iespējamās likumīgās.</w:t>
      </w:r>
    </w:p>
    <w:p w:rsidR="00731DDF" w:rsidRPr="00731DDF" w:rsidRDefault="00731DDF" w:rsidP="00731DDF">
      <w:pPr>
        <w:numPr>
          <w:ilvl w:val="0"/>
          <w:numId w:val="1"/>
        </w:numPr>
        <w:spacing w:after="120" w:line="240" w:lineRule="auto"/>
        <w:jc w:val="both"/>
        <w:rPr>
          <w:rFonts w:ascii="Times New Roman" w:hAnsi="Times New Roman" w:cs="Times New Roman"/>
          <w:b/>
          <w:sz w:val="24"/>
          <w:szCs w:val="24"/>
          <w:lang w:val="lv-LV"/>
        </w:rPr>
      </w:pPr>
      <w:r w:rsidRPr="00731DDF">
        <w:rPr>
          <w:rFonts w:ascii="Times New Roman" w:hAnsi="Times New Roman" w:cs="Times New Roman"/>
          <w:b/>
          <w:sz w:val="24"/>
          <w:szCs w:val="24"/>
          <w:lang w:val="lv-LV"/>
        </w:rPr>
        <w:t>Partijas īss darbības apraksts  pārskata  gadā</w:t>
      </w:r>
    </w:p>
    <w:p w:rsidR="00731DDF" w:rsidRPr="00731DDF" w:rsidRDefault="00731DDF" w:rsidP="00731DDF">
      <w:pPr>
        <w:ind w:firstLine="720"/>
        <w:jc w:val="both"/>
        <w:rPr>
          <w:rFonts w:ascii="Times New Roman" w:hAnsi="Times New Roman" w:cs="Times New Roman"/>
          <w:sz w:val="24"/>
          <w:szCs w:val="24"/>
          <w:lang w:val="lv-LV"/>
        </w:rPr>
      </w:pPr>
      <w:r w:rsidRPr="00731DDF">
        <w:rPr>
          <w:rFonts w:ascii="Times New Roman" w:hAnsi="Times New Roman" w:cs="Times New Roman"/>
          <w:sz w:val="24"/>
          <w:szCs w:val="24"/>
          <w:lang w:val="lv-LV"/>
        </w:rPr>
        <w:t xml:space="preserve">Pēc </w:t>
      </w:r>
      <w:r w:rsidRPr="00731DDF">
        <w:rPr>
          <w:rFonts w:ascii="Times New Roman" w:hAnsi="Times New Roman" w:cs="Times New Roman"/>
          <w:bCs/>
          <w:sz w:val="24"/>
          <w:szCs w:val="24"/>
          <w:lang w:val="lv-LV"/>
        </w:rPr>
        <w:t>Latvijas Atdzimšanas Partija</w:t>
      </w:r>
      <w:r w:rsidR="00F60266">
        <w:rPr>
          <w:rFonts w:ascii="Times New Roman" w:hAnsi="Times New Roman" w:cs="Times New Roman"/>
          <w:bCs/>
          <w:sz w:val="24"/>
          <w:szCs w:val="24"/>
          <w:lang w:val="lv-LV"/>
        </w:rPr>
        <w:t>s</w:t>
      </w:r>
      <w:r w:rsidRPr="00731DDF">
        <w:rPr>
          <w:rFonts w:ascii="Times New Roman" w:hAnsi="Times New Roman" w:cs="Times New Roman"/>
          <w:sz w:val="24"/>
          <w:szCs w:val="24"/>
          <w:lang w:val="lv-LV"/>
        </w:rPr>
        <w:t xml:space="preserve"> ieņēmu</w:t>
      </w:r>
      <w:r w:rsidR="00737FCC">
        <w:rPr>
          <w:rFonts w:ascii="Times New Roman" w:hAnsi="Times New Roman" w:cs="Times New Roman"/>
          <w:sz w:val="24"/>
          <w:szCs w:val="24"/>
          <w:lang w:val="lv-LV"/>
        </w:rPr>
        <w:t>mu un izdevumu pārskata par 2024</w:t>
      </w:r>
      <w:r w:rsidR="00F60266">
        <w:rPr>
          <w:rFonts w:ascii="Times New Roman" w:hAnsi="Times New Roman" w:cs="Times New Roman"/>
          <w:sz w:val="24"/>
          <w:szCs w:val="24"/>
          <w:lang w:val="lv-LV"/>
        </w:rPr>
        <w:t>. gadu ir redzams, ka partijai</w:t>
      </w:r>
      <w:r w:rsidR="00737FCC">
        <w:rPr>
          <w:rFonts w:ascii="Times New Roman" w:hAnsi="Times New Roman" w:cs="Times New Roman"/>
          <w:sz w:val="24"/>
          <w:szCs w:val="24"/>
          <w:lang w:val="lv-LV"/>
        </w:rPr>
        <w:t xml:space="preserve"> nebija </w:t>
      </w:r>
      <w:r w:rsidRPr="00731DDF">
        <w:rPr>
          <w:rFonts w:ascii="Times New Roman" w:hAnsi="Times New Roman" w:cs="Times New Roman"/>
          <w:sz w:val="24"/>
          <w:szCs w:val="24"/>
          <w:lang w:val="lv-LV"/>
        </w:rPr>
        <w:t>ieņēmumi</w:t>
      </w:r>
      <w:r w:rsidR="00F60266">
        <w:rPr>
          <w:rFonts w:ascii="Times New Roman" w:hAnsi="Times New Roman" w:cs="Times New Roman"/>
          <w:sz w:val="24"/>
          <w:szCs w:val="24"/>
          <w:lang w:val="lv-LV"/>
        </w:rPr>
        <w:t>.</w:t>
      </w:r>
      <w:r w:rsidRPr="00731DDF">
        <w:rPr>
          <w:rFonts w:ascii="Times New Roman" w:hAnsi="Times New Roman" w:cs="Times New Roman"/>
          <w:sz w:val="24"/>
          <w:szCs w:val="24"/>
          <w:lang w:val="lv-LV"/>
        </w:rPr>
        <w:t xml:space="preserve"> Ko</w:t>
      </w:r>
      <w:r w:rsidR="00737FCC">
        <w:rPr>
          <w:rFonts w:ascii="Times New Roman" w:hAnsi="Times New Roman" w:cs="Times New Roman"/>
          <w:sz w:val="24"/>
          <w:szCs w:val="24"/>
          <w:lang w:val="lv-LV"/>
        </w:rPr>
        <w:t>pējie partijas izdevumi par 2024. gadu ir EUR 172,16</w:t>
      </w:r>
      <w:r w:rsidRPr="00731DDF">
        <w:rPr>
          <w:rFonts w:ascii="Times New Roman" w:hAnsi="Times New Roman" w:cs="Times New Roman"/>
          <w:sz w:val="24"/>
          <w:szCs w:val="24"/>
          <w:lang w:val="lv-LV"/>
        </w:rPr>
        <w:t xml:space="preserve">, </w:t>
      </w:r>
      <w:r w:rsidR="00737FCC">
        <w:rPr>
          <w:rFonts w:ascii="Times New Roman" w:hAnsi="Times New Roman" w:cs="Times New Roman"/>
          <w:sz w:val="24"/>
          <w:szCs w:val="24"/>
          <w:lang w:val="lv-LV"/>
        </w:rPr>
        <w:t>bet rezerves fonds uz 2</w:t>
      </w:r>
      <w:r w:rsidR="00F60266">
        <w:rPr>
          <w:rFonts w:ascii="Times New Roman" w:hAnsi="Times New Roman" w:cs="Times New Roman"/>
          <w:sz w:val="24"/>
          <w:szCs w:val="24"/>
          <w:lang w:val="lv-LV"/>
        </w:rPr>
        <w:t>024. gada 31. decembri ir EUR 70</w:t>
      </w:r>
      <w:r w:rsidR="00737FCC">
        <w:rPr>
          <w:rFonts w:ascii="Times New Roman" w:hAnsi="Times New Roman" w:cs="Times New Roman"/>
          <w:sz w:val="24"/>
          <w:szCs w:val="24"/>
          <w:lang w:val="lv-LV"/>
        </w:rPr>
        <w:t>,72. Naudas līdzekļu atlikums 2024. gada 31. decembrī ir EUR 70,72</w:t>
      </w:r>
      <w:r w:rsidRPr="00731DDF">
        <w:rPr>
          <w:rFonts w:ascii="Times New Roman" w:hAnsi="Times New Roman" w:cs="Times New Roman"/>
          <w:sz w:val="24"/>
          <w:szCs w:val="24"/>
          <w:lang w:val="lv-LV"/>
        </w:rPr>
        <w:t>. Aizdevumu partijai nav.</w:t>
      </w:r>
    </w:p>
    <w:p w:rsidR="00731DDF" w:rsidRPr="00731DDF" w:rsidRDefault="00731DDF" w:rsidP="00731DDF">
      <w:pPr>
        <w:numPr>
          <w:ilvl w:val="0"/>
          <w:numId w:val="1"/>
        </w:numPr>
        <w:spacing w:after="0" w:line="240" w:lineRule="auto"/>
        <w:jc w:val="both"/>
        <w:rPr>
          <w:rFonts w:ascii="Times New Roman" w:hAnsi="Times New Roman" w:cs="Times New Roman"/>
          <w:b/>
          <w:sz w:val="24"/>
          <w:szCs w:val="24"/>
          <w:lang w:val="lv-LV"/>
        </w:rPr>
      </w:pPr>
      <w:r w:rsidRPr="00731DDF">
        <w:rPr>
          <w:rFonts w:ascii="Times New Roman" w:hAnsi="Times New Roman" w:cs="Times New Roman"/>
          <w:b/>
          <w:sz w:val="24"/>
          <w:szCs w:val="24"/>
          <w:lang w:val="lv-LV"/>
        </w:rPr>
        <w:t>Notikumi pēc pārskata gada pēdējās dienas</w:t>
      </w:r>
    </w:p>
    <w:p w:rsidR="00731DDF" w:rsidRPr="00731DDF" w:rsidRDefault="00731DDF" w:rsidP="00731DDF">
      <w:pPr>
        <w:spacing w:after="0" w:line="240" w:lineRule="auto"/>
        <w:ind w:left="720"/>
        <w:jc w:val="both"/>
        <w:rPr>
          <w:rFonts w:ascii="Times New Roman" w:hAnsi="Times New Roman" w:cs="Times New Roman"/>
          <w:b/>
          <w:sz w:val="24"/>
          <w:szCs w:val="24"/>
          <w:lang w:val="lv-LV"/>
        </w:rPr>
      </w:pPr>
    </w:p>
    <w:p w:rsidR="00676663" w:rsidRPr="00676663" w:rsidRDefault="00731DDF" w:rsidP="00025538">
      <w:pPr>
        <w:ind w:firstLine="720"/>
        <w:jc w:val="both"/>
        <w:rPr>
          <w:rFonts w:ascii="Times New Roman" w:hAnsi="Times New Roman" w:cs="Times New Roman"/>
          <w:sz w:val="24"/>
          <w:szCs w:val="24"/>
          <w:lang w:val="lv-LV"/>
        </w:rPr>
      </w:pPr>
      <w:r w:rsidRPr="00731DDF">
        <w:rPr>
          <w:rFonts w:ascii="Times New Roman" w:hAnsi="Times New Roman" w:cs="Times New Roman"/>
          <w:sz w:val="24"/>
          <w:szCs w:val="24"/>
          <w:lang w:val="lv-LV"/>
        </w:rPr>
        <w:t xml:space="preserve">Laika periodā no pārskata gada pēdējās dienas līdz šī ziņojuma parakstīšanai nav bijuši nekādi ievērojami notikumi, kas būtiski ietekmētu pārskata gada rezultātu, kuru rezultātā būtu jāveic gada pārskata korekcijas vai kuri būtu jāiekļauj gada pārskata pielikumos. </w:t>
      </w:r>
    </w:p>
    <w:p w:rsidR="00025538" w:rsidRPr="00025538" w:rsidRDefault="00731DDF" w:rsidP="00025538">
      <w:pPr>
        <w:numPr>
          <w:ilvl w:val="0"/>
          <w:numId w:val="1"/>
        </w:numPr>
        <w:spacing w:after="120" w:line="240" w:lineRule="auto"/>
        <w:rPr>
          <w:rFonts w:ascii="Times New Roman" w:hAnsi="Times New Roman" w:cs="Times New Roman"/>
          <w:sz w:val="24"/>
          <w:szCs w:val="24"/>
          <w:lang w:val="lv-LV"/>
        </w:rPr>
      </w:pPr>
      <w:r w:rsidRPr="00025538">
        <w:rPr>
          <w:rFonts w:ascii="Times New Roman" w:hAnsi="Times New Roman" w:cs="Times New Roman"/>
          <w:b/>
          <w:sz w:val="24"/>
          <w:szCs w:val="24"/>
          <w:lang w:val="lv-LV"/>
        </w:rPr>
        <w:t>Gada pārskata sagatavošanas  pamats</w:t>
      </w:r>
      <w:r w:rsidR="00025538">
        <w:rPr>
          <w:rFonts w:ascii="Times New Roman" w:hAnsi="Times New Roman" w:cs="Times New Roman"/>
          <w:b/>
          <w:sz w:val="24"/>
          <w:szCs w:val="24"/>
          <w:lang w:val="lv-LV"/>
        </w:rPr>
        <w:t xml:space="preserve"> </w:t>
      </w:r>
    </w:p>
    <w:p w:rsidR="00731DDF" w:rsidRPr="00025538" w:rsidRDefault="00731DDF" w:rsidP="00025538">
      <w:pPr>
        <w:spacing w:after="120" w:line="240" w:lineRule="auto"/>
        <w:ind w:left="360"/>
        <w:rPr>
          <w:rFonts w:ascii="Times New Roman" w:hAnsi="Times New Roman" w:cs="Times New Roman"/>
          <w:b/>
          <w:sz w:val="24"/>
          <w:szCs w:val="24"/>
          <w:lang w:val="lv-LV"/>
        </w:rPr>
      </w:pPr>
      <w:r w:rsidRPr="00025538">
        <w:rPr>
          <w:rFonts w:ascii="Times New Roman" w:hAnsi="Times New Roman" w:cs="Times New Roman"/>
          <w:sz w:val="24"/>
          <w:szCs w:val="24"/>
          <w:lang w:val="lv-LV"/>
        </w:rPr>
        <w:t>Gada pārskats ir sagatavots atbilst</w:t>
      </w:r>
      <w:r w:rsidR="00025538">
        <w:rPr>
          <w:rFonts w:ascii="Times New Roman" w:hAnsi="Times New Roman" w:cs="Times New Roman"/>
          <w:sz w:val="24"/>
          <w:szCs w:val="24"/>
          <w:lang w:val="lv-LV"/>
        </w:rPr>
        <w:t xml:space="preserve">oši </w:t>
      </w:r>
      <w:r w:rsidR="00025538" w:rsidRPr="00025538">
        <w:rPr>
          <w:rFonts w:ascii="Times New Roman" w:hAnsi="Times New Roman" w:cs="Times New Roman"/>
          <w:sz w:val="24"/>
          <w:szCs w:val="24"/>
          <w:lang w:val="lv-LV"/>
        </w:rPr>
        <w:t>14.10.1992.LR</w:t>
      </w:r>
      <w:r w:rsidR="00025538">
        <w:rPr>
          <w:rFonts w:ascii="Times New Roman" w:hAnsi="Times New Roman" w:cs="Times New Roman"/>
          <w:sz w:val="24"/>
          <w:szCs w:val="24"/>
          <w:lang w:val="lv-LV"/>
        </w:rPr>
        <w:t xml:space="preserve"> </w:t>
      </w:r>
      <w:r w:rsidR="00025538" w:rsidRPr="00025538">
        <w:rPr>
          <w:rFonts w:ascii="Times New Roman" w:hAnsi="Times New Roman" w:cs="Times New Roman"/>
          <w:sz w:val="24"/>
          <w:szCs w:val="24"/>
          <w:lang w:val="lv-LV"/>
        </w:rPr>
        <w:t>likumam"Par</w:t>
      </w:r>
      <w:r w:rsidR="00025538">
        <w:rPr>
          <w:rFonts w:ascii="Times New Roman" w:hAnsi="Times New Roman" w:cs="Times New Roman"/>
          <w:sz w:val="24"/>
          <w:szCs w:val="24"/>
          <w:lang w:val="lv-LV"/>
        </w:rPr>
        <w:t xml:space="preserve"> </w:t>
      </w:r>
      <w:r w:rsidRPr="00025538">
        <w:rPr>
          <w:rFonts w:ascii="Times New Roman" w:hAnsi="Times New Roman" w:cs="Times New Roman"/>
          <w:sz w:val="24"/>
          <w:szCs w:val="24"/>
          <w:lang w:val="lv-LV"/>
        </w:rPr>
        <w:t>grāmatvedību" un 2004.gada 13.jūlija LR MK noteikumu Nr.591 „Noteikumi par politisko organizāciju (partiju) un to apvienību gada pārskatiem” prasībām.</w:t>
      </w:r>
    </w:p>
    <w:p w:rsidR="00731DDF" w:rsidRPr="00676663" w:rsidRDefault="00731DDF" w:rsidP="00731DDF">
      <w:pPr>
        <w:spacing w:after="120"/>
        <w:ind w:firstLine="284"/>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Gada pārskatam sniedz skaidru priekšstatu par politiskās organizācijas (partijas) līdzekļiem, to avotiem un finansiālo stāvokli pārskata perioda pēdējā dienā (turpmāk — bilances datums), kā arī tās saimnieciskajiem darījumiem, ieņēmumiem un izdevumiem pārskata gadā.</w:t>
      </w:r>
    </w:p>
    <w:p w:rsidR="00731DDF" w:rsidRPr="00676663" w:rsidRDefault="00731DDF" w:rsidP="00731DDF">
      <w:pPr>
        <w:spacing w:after="120"/>
        <w:ind w:firstLine="284"/>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Grāmatvedības politika  nodrošina, ka  finanšu  pārskats  sniedz  informāciju, kas:</w:t>
      </w:r>
    </w:p>
    <w:p w:rsidR="00731DDF" w:rsidRPr="00676663" w:rsidRDefault="00731DDF" w:rsidP="00731DDF">
      <w:pPr>
        <w:pStyle w:val="NormalWeb"/>
        <w:numPr>
          <w:ilvl w:val="0"/>
          <w:numId w:val="3"/>
        </w:numPr>
        <w:spacing w:before="0" w:beforeAutospacing="0" w:after="120" w:afterAutospacing="0"/>
        <w:jc w:val="both"/>
      </w:pPr>
      <w:r w:rsidRPr="00676663">
        <w:lastRenderedPageBreak/>
        <w:t>ir derīga finanšu pārskata lietotājiem, lai pieņemtu lēmumus;</w:t>
      </w:r>
    </w:p>
    <w:p w:rsidR="00731DDF" w:rsidRPr="00676663" w:rsidRDefault="00731DDF" w:rsidP="00731DDF">
      <w:pPr>
        <w:pStyle w:val="NormalWeb"/>
        <w:numPr>
          <w:ilvl w:val="0"/>
          <w:numId w:val="3"/>
        </w:numPr>
        <w:spacing w:before="0" w:beforeAutospacing="0" w:after="120" w:afterAutospacing="0"/>
        <w:jc w:val="both"/>
      </w:pPr>
      <w:r w:rsidRPr="00676663">
        <w:t>ir ticama, jo pārskats:</w:t>
      </w:r>
    </w:p>
    <w:p w:rsidR="00731DDF" w:rsidRPr="00676663" w:rsidRDefault="00731DDF" w:rsidP="00731DDF">
      <w:pPr>
        <w:pStyle w:val="NormalWeb"/>
        <w:numPr>
          <w:ilvl w:val="1"/>
          <w:numId w:val="3"/>
        </w:numPr>
        <w:spacing w:before="0" w:beforeAutospacing="0" w:after="0" w:afterAutospacing="0"/>
        <w:ind w:left="1434" w:hanging="357"/>
        <w:jc w:val="both"/>
      </w:pPr>
      <w:r w:rsidRPr="00676663">
        <w:t>pareizi uzrāda partijas darbības rezultātus un finansiālo stāvokli;</w:t>
      </w:r>
    </w:p>
    <w:p w:rsidR="00731DDF" w:rsidRPr="00676663" w:rsidRDefault="00731DDF" w:rsidP="00731DDF">
      <w:pPr>
        <w:pStyle w:val="NormalWeb"/>
        <w:numPr>
          <w:ilvl w:val="1"/>
          <w:numId w:val="3"/>
        </w:numPr>
        <w:spacing w:before="0" w:beforeAutospacing="0" w:after="120" w:afterAutospacing="0"/>
        <w:jc w:val="both"/>
      </w:pPr>
      <w:r w:rsidRPr="00676663">
        <w:t>uzrāda ne tikai notikumu un darījumu juridisko formu, bet arī to ekonomisko būtību;</w:t>
      </w:r>
    </w:p>
    <w:p w:rsidR="00731DDF" w:rsidRPr="00676663" w:rsidRDefault="00731DDF" w:rsidP="00731DDF">
      <w:pPr>
        <w:pStyle w:val="NormalWeb"/>
        <w:numPr>
          <w:ilvl w:val="0"/>
          <w:numId w:val="3"/>
        </w:numPr>
        <w:spacing w:before="0" w:beforeAutospacing="0" w:after="120" w:afterAutospacing="0"/>
        <w:jc w:val="both"/>
      </w:pPr>
      <w:r w:rsidRPr="00676663">
        <w:t>nav subjektīva;</w:t>
      </w:r>
    </w:p>
    <w:p w:rsidR="00731DDF" w:rsidRPr="00676663" w:rsidRDefault="00731DDF" w:rsidP="00731DDF">
      <w:pPr>
        <w:pStyle w:val="NormalWeb"/>
        <w:numPr>
          <w:ilvl w:val="0"/>
          <w:numId w:val="3"/>
        </w:numPr>
        <w:spacing w:before="0" w:beforeAutospacing="0" w:after="120" w:afterAutospacing="0"/>
        <w:jc w:val="both"/>
      </w:pPr>
      <w:r w:rsidRPr="00676663">
        <w:t>ir piesardzīga;</w:t>
      </w:r>
    </w:p>
    <w:p w:rsidR="00731DDF" w:rsidRPr="00676663" w:rsidRDefault="00731DDF" w:rsidP="00731DDF">
      <w:pPr>
        <w:pStyle w:val="NormalWeb"/>
        <w:numPr>
          <w:ilvl w:val="0"/>
          <w:numId w:val="3"/>
        </w:numPr>
        <w:spacing w:before="0" w:beforeAutospacing="0" w:after="120" w:afterAutospacing="0"/>
        <w:jc w:val="both"/>
      </w:pPr>
      <w:r w:rsidRPr="00676663">
        <w:t>visos būtiskajos aspektos ir pilnīga.</w:t>
      </w:r>
    </w:p>
    <w:p w:rsidR="00731DDF" w:rsidRPr="00676663" w:rsidRDefault="00731DDF" w:rsidP="00731DDF">
      <w:pPr>
        <w:spacing w:after="120"/>
        <w:jc w:val="both"/>
        <w:rPr>
          <w:rFonts w:ascii="Times New Roman" w:hAnsi="Times New Roman" w:cs="Times New Roman"/>
          <w:b/>
          <w:i/>
          <w:sz w:val="24"/>
          <w:szCs w:val="24"/>
          <w:lang w:val="lv-LV"/>
        </w:rPr>
      </w:pPr>
      <w:r w:rsidRPr="00676663">
        <w:rPr>
          <w:rFonts w:ascii="Times New Roman" w:hAnsi="Times New Roman" w:cs="Times New Roman"/>
          <w:b/>
          <w:i/>
          <w:sz w:val="24"/>
          <w:szCs w:val="24"/>
          <w:lang w:val="lv-LV"/>
        </w:rPr>
        <w:t>Gada  pārskata  posteņi  ir  novērtēti  atbilstoši  šādiem grāmatvedības principiem:</w:t>
      </w:r>
    </w:p>
    <w:p w:rsidR="00731DDF" w:rsidRPr="00676663" w:rsidRDefault="00731DDF" w:rsidP="00731DDF">
      <w:pPr>
        <w:numPr>
          <w:ilvl w:val="0"/>
          <w:numId w:val="4"/>
        </w:numPr>
        <w:spacing w:after="12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pieņemot, ka organizācija darbosies arī turpmāk;</w:t>
      </w:r>
    </w:p>
    <w:p w:rsidR="00731DDF" w:rsidRPr="00676663" w:rsidRDefault="00731DDF" w:rsidP="00731DDF">
      <w:pPr>
        <w:numPr>
          <w:ilvl w:val="0"/>
          <w:numId w:val="4"/>
        </w:numPr>
        <w:spacing w:after="12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izmantojot tās pašas novērtēšanas metodes, kas iepriekšējā pārskata gadā,</w:t>
      </w:r>
    </w:p>
    <w:p w:rsidR="00731DDF" w:rsidRPr="00676663" w:rsidRDefault="00731DDF" w:rsidP="00731DDF">
      <w:pPr>
        <w:numPr>
          <w:ilvl w:val="0"/>
          <w:numId w:val="4"/>
        </w:numPr>
        <w:spacing w:after="12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novērtēšana veikta ar pienācīgu piesardzību, ievērojot šādus nosacījumus:</w:t>
      </w:r>
    </w:p>
    <w:p w:rsidR="00731DDF" w:rsidRPr="00676663" w:rsidRDefault="00731DDF" w:rsidP="00731DDF">
      <w:pPr>
        <w:numPr>
          <w:ilvl w:val="0"/>
          <w:numId w:val="2"/>
        </w:numPr>
        <w:spacing w:after="120" w:line="240" w:lineRule="auto"/>
        <w:ind w:left="1286"/>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pārskatā iekļauti tikai līdz bilances datumam iegūtie ieņēmumi;</w:t>
      </w:r>
    </w:p>
    <w:p w:rsidR="00731DDF" w:rsidRPr="00676663" w:rsidRDefault="00731DDF" w:rsidP="00731DDF">
      <w:pPr>
        <w:numPr>
          <w:ilvl w:val="0"/>
          <w:numId w:val="2"/>
        </w:numPr>
        <w:spacing w:after="120" w:line="240" w:lineRule="auto"/>
        <w:ind w:left="1286"/>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ņemtas vērā visas paredzamās riska summas un zaudējumi, kas radušies pārskata  gadā vai iepriekšējos gados, arī  tad, ja tie kļuvuši zināmi laika posmā starp bilances datumu un gada pārskata  sastādīšanas dienu;</w:t>
      </w:r>
    </w:p>
    <w:p w:rsidR="00731DDF" w:rsidRPr="00676663" w:rsidRDefault="00731DDF" w:rsidP="00731DDF">
      <w:pPr>
        <w:numPr>
          <w:ilvl w:val="0"/>
          <w:numId w:val="2"/>
        </w:numPr>
        <w:spacing w:after="120" w:line="240" w:lineRule="auto"/>
        <w:ind w:left="1286"/>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aprēķinātas un ņemtas vērā visas vērtības samazināšanās un nolietojuma summas neatkarīgi no tā, vai  pārskata gads tiek noslēgts ar peļņu vai zaudējumiem;</w:t>
      </w:r>
    </w:p>
    <w:p w:rsidR="00731DDF" w:rsidRPr="00676663" w:rsidRDefault="00731DDF" w:rsidP="00731DDF">
      <w:pPr>
        <w:numPr>
          <w:ilvl w:val="0"/>
          <w:numId w:val="5"/>
        </w:numPr>
        <w:spacing w:after="12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ieņēmumu vai zaudējumu aprēķinā ietverti ar pārskata gadu saistītie ieņēmumi un izmaksas, neatkarīgi no maksājuma datuma un rēķina saņemšanas vai izrakstīšanas datuma. Izmaksas ir saskaņotas ar ieņēmumiem attiecīgajos pārskata periodos;</w:t>
      </w:r>
    </w:p>
    <w:p w:rsidR="00731DDF" w:rsidRPr="00676663" w:rsidRDefault="00731DDF" w:rsidP="00731DDF">
      <w:pPr>
        <w:numPr>
          <w:ilvl w:val="0"/>
          <w:numId w:val="5"/>
        </w:numPr>
        <w:spacing w:after="12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aktīva un pasīva posteņu sastāvdaļas novērtētas  atsevišķi;</w:t>
      </w:r>
    </w:p>
    <w:p w:rsidR="00731DDF" w:rsidRPr="00676663" w:rsidRDefault="00731DDF" w:rsidP="00731DDF">
      <w:pPr>
        <w:numPr>
          <w:ilvl w:val="0"/>
          <w:numId w:val="5"/>
        </w:numPr>
        <w:spacing w:after="12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pārskata  gada  sākuma  bilance  saskan ar iepriekšējā gada slēguma bilanci;</w:t>
      </w:r>
    </w:p>
    <w:p w:rsidR="00731DDF" w:rsidRPr="00676663" w:rsidRDefault="00731DDF" w:rsidP="00731DDF">
      <w:pPr>
        <w:numPr>
          <w:ilvl w:val="0"/>
          <w:numId w:val="5"/>
        </w:numPr>
        <w:spacing w:after="12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norādīti visi posteņi, kuri būtiski ietekmē gada pārskata lietotāju novērtējumu vai  lēmumu  pieņemšanu;</w:t>
      </w:r>
    </w:p>
    <w:p w:rsidR="00731DDF" w:rsidRDefault="00731DDF" w:rsidP="00731DDF">
      <w:pPr>
        <w:numPr>
          <w:ilvl w:val="0"/>
          <w:numId w:val="5"/>
        </w:numPr>
        <w:spacing w:after="12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uzņēmuma saimnieciskie darījumi iegrāmatoti un atspoguļoti gada pārskatā, ņemot vērā to ekonomisko saturu un būtību, nevis tikai juridisko formu.</w:t>
      </w:r>
    </w:p>
    <w:p w:rsidR="00676663" w:rsidRPr="00676663" w:rsidRDefault="00676663" w:rsidP="00676663">
      <w:pPr>
        <w:spacing w:after="120" w:line="240" w:lineRule="auto"/>
        <w:ind w:left="567"/>
        <w:jc w:val="both"/>
        <w:rPr>
          <w:rFonts w:ascii="Times New Roman" w:hAnsi="Times New Roman" w:cs="Times New Roman"/>
          <w:sz w:val="24"/>
          <w:szCs w:val="24"/>
          <w:lang w:val="lv-LV"/>
        </w:rPr>
      </w:pPr>
    </w:p>
    <w:p w:rsidR="00731DDF" w:rsidRPr="00676663" w:rsidRDefault="00731DDF" w:rsidP="00731DDF">
      <w:pPr>
        <w:spacing w:after="120"/>
        <w:ind w:left="171"/>
        <w:jc w:val="both"/>
        <w:rPr>
          <w:rFonts w:ascii="Times New Roman" w:hAnsi="Times New Roman" w:cs="Times New Roman"/>
          <w:b/>
          <w:bCs/>
          <w:sz w:val="24"/>
          <w:szCs w:val="24"/>
          <w:lang w:val="lv-LV"/>
        </w:rPr>
      </w:pPr>
      <w:r w:rsidRPr="00676663">
        <w:rPr>
          <w:rFonts w:ascii="Times New Roman" w:hAnsi="Times New Roman" w:cs="Times New Roman"/>
          <w:b/>
          <w:bCs/>
          <w:sz w:val="24"/>
          <w:szCs w:val="24"/>
          <w:lang w:val="lv-LV"/>
        </w:rPr>
        <w:t>7. Pārskata periods.</w:t>
      </w:r>
    </w:p>
    <w:p w:rsidR="00731DDF" w:rsidRPr="00676663" w:rsidRDefault="00737FCC" w:rsidP="00731DDF">
      <w:pPr>
        <w:spacing w:after="120"/>
        <w:ind w:left="2727" w:firstLine="153"/>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01.01.2024.-31.12.2024</w:t>
      </w:r>
      <w:r w:rsidR="00731DDF" w:rsidRPr="00676663">
        <w:rPr>
          <w:rFonts w:ascii="Times New Roman" w:hAnsi="Times New Roman" w:cs="Times New Roman"/>
          <w:b/>
          <w:bCs/>
          <w:sz w:val="24"/>
          <w:szCs w:val="24"/>
          <w:lang w:val="lv-LV"/>
        </w:rPr>
        <w:t>.</w:t>
      </w:r>
    </w:p>
    <w:p w:rsidR="00731DDF" w:rsidRPr="00676663" w:rsidRDefault="00731DDF" w:rsidP="00731DDF">
      <w:pPr>
        <w:spacing w:after="120"/>
        <w:ind w:left="567"/>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Gada pārskatā un grāmatvedībā par naudas vienību un vērtības mēru ir lietota Latvijas Republikas naudas vienība - EUR.</w:t>
      </w:r>
    </w:p>
    <w:p w:rsidR="00731DDF" w:rsidRPr="00676663" w:rsidRDefault="00731DDF" w:rsidP="00731DDF">
      <w:pPr>
        <w:numPr>
          <w:ilvl w:val="0"/>
          <w:numId w:val="7"/>
        </w:numPr>
        <w:spacing w:after="120" w:line="240" w:lineRule="auto"/>
        <w:jc w:val="both"/>
        <w:rPr>
          <w:rFonts w:ascii="Times New Roman" w:hAnsi="Times New Roman" w:cs="Times New Roman"/>
          <w:b/>
          <w:sz w:val="24"/>
          <w:szCs w:val="24"/>
          <w:lang w:val="lv-LV"/>
        </w:rPr>
      </w:pPr>
      <w:r w:rsidRPr="00676663">
        <w:rPr>
          <w:rFonts w:ascii="Times New Roman" w:hAnsi="Times New Roman" w:cs="Times New Roman"/>
          <w:b/>
          <w:sz w:val="24"/>
          <w:szCs w:val="24"/>
          <w:lang w:val="lv-LV"/>
        </w:rPr>
        <w:t>Ilgtermiņa un  īstermiņa  posteņi</w:t>
      </w:r>
    </w:p>
    <w:p w:rsidR="00731DDF" w:rsidRPr="00676663" w:rsidRDefault="00731DDF" w:rsidP="00731DDF">
      <w:pPr>
        <w:spacing w:after="120"/>
        <w:ind w:firstLine="720"/>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Līdzekļi, kas paredzēti ilgstošai lietošanai vai ieguldīti ilglietojamā īpašumā, ir ilgtermiņa ieguldījumi. Citi līdzekļi ir apgrozāmie līdzekļi.</w:t>
      </w:r>
    </w:p>
    <w:p w:rsidR="00731DDF" w:rsidRPr="00676663" w:rsidRDefault="00731DDF" w:rsidP="00731DDF">
      <w:pPr>
        <w:spacing w:after="120"/>
        <w:ind w:firstLine="720"/>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Īstermiņa aktīvos ir uzrādītas  aktīvu  summas:</w:t>
      </w:r>
    </w:p>
    <w:p w:rsidR="00731DDF" w:rsidRPr="00676663" w:rsidRDefault="00731DDF" w:rsidP="00731DDF">
      <w:pPr>
        <w:numPr>
          <w:ilvl w:val="0"/>
          <w:numId w:val="6"/>
        </w:numPr>
        <w:spacing w:after="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lastRenderedPageBreak/>
        <w:t>kurus paredzēts realizēt vai patērēt  organizācijas  parastā  darbības  cikla  ietvaros;</w:t>
      </w:r>
    </w:p>
    <w:p w:rsidR="00731DDF" w:rsidRPr="00676663" w:rsidRDefault="00731DDF" w:rsidP="00731DDF">
      <w:pPr>
        <w:numPr>
          <w:ilvl w:val="0"/>
          <w:numId w:val="6"/>
        </w:numPr>
        <w:spacing w:after="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kurus tur īslaicīgi un  paredz  izlietot divpadsmit  mēnešos  pēc  bilances  datuma;</w:t>
      </w:r>
    </w:p>
    <w:p w:rsidR="00731DDF" w:rsidRPr="00676663" w:rsidRDefault="00731DDF" w:rsidP="00731DDF">
      <w:pPr>
        <w:numPr>
          <w:ilvl w:val="0"/>
          <w:numId w:val="6"/>
        </w:numPr>
        <w:spacing w:after="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tā ir  nauda  vai  tās  ekvivalents, kam  ir  neierobežotas  lietošanas  iespējas.</w:t>
      </w:r>
    </w:p>
    <w:p w:rsidR="00731DDF" w:rsidRPr="00676663" w:rsidRDefault="00731DDF" w:rsidP="00731DDF">
      <w:pPr>
        <w:ind w:firstLine="720"/>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Īstermiņa  saistībās  ir  uzrādītas  saistību  summas:</w:t>
      </w:r>
    </w:p>
    <w:p w:rsidR="00731DDF" w:rsidRPr="00676663" w:rsidRDefault="00731DDF" w:rsidP="00731DDF">
      <w:pPr>
        <w:numPr>
          <w:ilvl w:val="0"/>
          <w:numId w:val="6"/>
        </w:numPr>
        <w:spacing w:after="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par  kurām  paredzēts  norēķināties  partijas  parastā  darbības  cikla  ietvaros;</w:t>
      </w:r>
    </w:p>
    <w:p w:rsidR="00731DDF" w:rsidRPr="00676663" w:rsidRDefault="00731DDF" w:rsidP="00731DDF">
      <w:pPr>
        <w:numPr>
          <w:ilvl w:val="0"/>
          <w:numId w:val="6"/>
        </w:numPr>
        <w:spacing w:after="12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par  tām  jānorēķinās  ne  vēlāk  kā  divpadsmit  mēnešos  pēc  bilances  datuma.</w:t>
      </w:r>
    </w:p>
    <w:p w:rsidR="00676663" w:rsidRDefault="00731DDF" w:rsidP="00676663">
      <w:pPr>
        <w:spacing w:after="0" w:line="240" w:lineRule="auto"/>
        <w:jc w:val="both"/>
        <w:rPr>
          <w:rFonts w:ascii="Times New Roman" w:hAnsi="Times New Roman" w:cs="Times New Roman"/>
          <w:b/>
          <w:sz w:val="24"/>
          <w:szCs w:val="24"/>
          <w:lang w:val="lv-LV"/>
        </w:rPr>
      </w:pPr>
      <w:r w:rsidRPr="00676663">
        <w:rPr>
          <w:rFonts w:ascii="Times New Roman" w:hAnsi="Times New Roman" w:cs="Times New Roman"/>
          <w:b/>
          <w:sz w:val="24"/>
          <w:szCs w:val="24"/>
          <w:lang w:val="lv-LV"/>
        </w:rPr>
        <w:t>Fondi</w:t>
      </w:r>
    </w:p>
    <w:p w:rsidR="00676663" w:rsidRDefault="00676663" w:rsidP="00676663">
      <w:pPr>
        <w:spacing w:after="0" w:line="24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 </w:t>
      </w:r>
      <w:r w:rsidR="00731DDF" w:rsidRPr="00676663">
        <w:rPr>
          <w:rFonts w:ascii="Times New Roman" w:hAnsi="Times New Roman" w:cs="Times New Roman"/>
          <w:sz w:val="24"/>
          <w:szCs w:val="24"/>
          <w:lang w:val="lv-LV"/>
        </w:rPr>
        <w:t>Ieņēmumu pārsniegumu pār izdevumiem, kuros ietvertas arī nodokļu un sociālo maksājumu summas, ieskaita rezerves fondā</w:t>
      </w:r>
      <w:r w:rsidR="00731DDF" w:rsidRPr="00676663">
        <w:rPr>
          <w:rFonts w:ascii="Times New Roman" w:hAnsi="Times New Roman" w:cs="Times New Roman"/>
          <w:color w:val="000000"/>
          <w:sz w:val="24"/>
          <w:szCs w:val="24"/>
          <w:shd w:val="clear" w:color="auto" w:fill="FFFFFF"/>
          <w:lang w:val="lv-LV"/>
        </w:rPr>
        <w:t>, bet I</w:t>
      </w:r>
      <w:r w:rsidR="00731DDF" w:rsidRPr="00676663">
        <w:rPr>
          <w:rFonts w:ascii="Times New Roman" w:hAnsi="Times New Roman" w:cs="Times New Roman"/>
          <w:sz w:val="24"/>
          <w:szCs w:val="24"/>
          <w:lang w:val="lv-LV"/>
        </w:rPr>
        <w:t>zdevumu pārsniegumu pār ieņēmumiem noraksta no rezerves fonda līdzekļiem to atlikuma apmērā. Ar rezerves fonda līdzekļiem nesegto izdevumu summu norāda bilances postenī “Rezerves fonds” kā negatīvu skaitli.</w:t>
      </w:r>
    </w:p>
    <w:p w:rsidR="00731DDF" w:rsidRPr="00676663" w:rsidRDefault="00731DDF" w:rsidP="00676663">
      <w:pPr>
        <w:spacing w:after="0" w:line="240" w:lineRule="auto"/>
        <w:jc w:val="both"/>
        <w:rPr>
          <w:rFonts w:ascii="Times New Roman" w:hAnsi="Times New Roman" w:cs="Times New Roman"/>
          <w:b/>
          <w:sz w:val="24"/>
          <w:szCs w:val="24"/>
          <w:lang w:val="lv-LV"/>
        </w:rPr>
      </w:pPr>
      <w:r w:rsidRPr="00676663">
        <w:rPr>
          <w:rFonts w:ascii="Times New Roman" w:hAnsi="Times New Roman" w:cs="Times New Roman"/>
          <w:b/>
          <w:bCs/>
          <w:sz w:val="24"/>
          <w:szCs w:val="24"/>
          <w:lang w:val="lv-LV"/>
        </w:rPr>
        <w:t>Ziņojums par biedru iestāšanās naudu un biedru naudu</w:t>
      </w:r>
    </w:p>
    <w:p w:rsidR="00731DDF" w:rsidRPr="00676663" w:rsidRDefault="00731DDF" w:rsidP="00676663">
      <w:pPr>
        <w:pStyle w:val="NormalWeb"/>
        <w:spacing w:before="0" w:beforeAutospacing="0" w:after="0" w:afterAutospacing="0"/>
        <w:rPr>
          <w:b/>
          <w:bCs/>
        </w:rPr>
      </w:pPr>
      <w:r w:rsidRPr="00676663">
        <w:rPr>
          <w:rStyle w:val="fontstyle01"/>
          <w:rFonts w:ascii="Times New Roman" w:hAnsi="Times New Roman"/>
        </w:rPr>
        <w:t>Saņemta biedru nauda</w:t>
      </w:r>
      <w:r w:rsidR="00BB2E9B">
        <w:rPr>
          <w:rStyle w:val="fontstyle01"/>
          <w:rFonts w:ascii="Times New Roman" w:hAnsi="Times New Roman"/>
        </w:rPr>
        <w:t xml:space="preserve"> 2024.gadā-nav</w:t>
      </w:r>
    </w:p>
    <w:tbl>
      <w:tblPr>
        <w:tblW w:w="4148" w:type="pct"/>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804"/>
        <w:gridCol w:w="907"/>
        <w:gridCol w:w="2122"/>
        <w:gridCol w:w="1557"/>
        <w:gridCol w:w="1492"/>
      </w:tblGrid>
      <w:tr w:rsidR="00731DDF" w:rsidRPr="00676663" w:rsidTr="009D4FCA">
        <w:trPr>
          <w:trHeight w:val="1064"/>
          <w:tblCellSpacing w:w="15" w:type="dxa"/>
        </w:trPr>
        <w:tc>
          <w:tcPr>
            <w:tcW w:w="499" w:type="pct"/>
            <w:vAlign w:val="center"/>
          </w:tcPr>
          <w:p w:rsidR="00731DDF" w:rsidRPr="00676663" w:rsidRDefault="00731DDF" w:rsidP="009D4FCA">
            <w:pPr>
              <w:pStyle w:val="NormalWeb"/>
              <w:jc w:val="center"/>
            </w:pPr>
            <w:r w:rsidRPr="00676663">
              <w:t>Nr.p.k.</w:t>
            </w:r>
          </w:p>
        </w:tc>
        <w:tc>
          <w:tcPr>
            <w:tcW w:w="652" w:type="pct"/>
            <w:vAlign w:val="center"/>
          </w:tcPr>
          <w:p w:rsidR="00731DDF" w:rsidRPr="00676663" w:rsidRDefault="00731DDF" w:rsidP="009D4FCA">
            <w:pPr>
              <w:pStyle w:val="NormalWeb"/>
              <w:jc w:val="center"/>
            </w:pPr>
            <w:r w:rsidRPr="00676663">
              <w:t>Datums</w:t>
            </w:r>
          </w:p>
        </w:tc>
        <w:tc>
          <w:tcPr>
            <w:tcW w:w="1537" w:type="pct"/>
            <w:vAlign w:val="center"/>
          </w:tcPr>
          <w:p w:rsidR="00731DDF" w:rsidRPr="00676663" w:rsidRDefault="00731DDF" w:rsidP="009D4FCA">
            <w:pPr>
              <w:pStyle w:val="NormalWeb"/>
              <w:jc w:val="center"/>
            </w:pPr>
            <w:r w:rsidRPr="00676663">
              <w:t>Vārds, uzvārds</w:t>
            </w:r>
          </w:p>
        </w:tc>
        <w:tc>
          <w:tcPr>
            <w:tcW w:w="1126" w:type="pct"/>
            <w:vAlign w:val="center"/>
          </w:tcPr>
          <w:p w:rsidR="00731DDF" w:rsidRPr="00676663" w:rsidRDefault="00731DDF" w:rsidP="009D4FCA">
            <w:pPr>
              <w:pStyle w:val="NormalWeb"/>
              <w:jc w:val="center"/>
            </w:pPr>
            <w:r w:rsidRPr="00676663">
              <w:t>Veids (biedra iestāšanās nauda vai biedra nauda)</w:t>
            </w:r>
          </w:p>
        </w:tc>
        <w:tc>
          <w:tcPr>
            <w:tcW w:w="1067" w:type="pct"/>
            <w:vAlign w:val="center"/>
          </w:tcPr>
          <w:p w:rsidR="00731DDF" w:rsidRPr="00676663" w:rsidRDefault="00731DDF" w:rsidP="009D4FCA">
            <w:pPr>
              <w:pStyle w:val="NormalWeb"/>
              <w:jc w:val="center"/>
            </w:pPr>
            <w:r w:rsidRPr="00676663">
              <w:t>Summa</w:t>
            </w:r>
          </w:p>
        </w:tc>
      </w:tr>
      <w:tr w:rsidR="00731DDF" w:rsidRPr="00676663" w:rsidTr="009D4FCA">
        <w:trPr>
          <w:trHeight w:val="258"/>
          <w:tblCellSpacing w:w="15" w:type="dxa"/>
        </w:trPr>
        <w:tc>
          <w:tcPr>
            <w:tcW w:w="499" w:type="pct"/>
            <w:tcBorders>
              <w:top w:val="single" w:sz="4" w:space="0" w:color="auto"/>
              <w:bottom w:val="single" w:sz="4" w:space="0" w:color="auto"/>
              <w:right w:val="single" w:sz="4" w:space="0" w:color="auto"/>
            </w:tcBorders>
          </w:tcPr>
          <w:p w:rsidR="00731DDF" w:rsidRPr="00676663" w:rsidRDefault="00731DDF" w:rsidP="009D4FCA">
            <w:pPr>
              <w:rPr>
                <w:rFonts w:ascii="Times New Roman" w:hAnsi="Times New Roman" w:cs="Times New Roman"/>
                <w:sz w:val="24"/>
                <w:szCs w:val="24"/>
                <w:lang w:val="lv-LV"/>
              </w:rPr>
            </w:pPr>
            <w:r w:rsidRPr="00676663">
              <w:rPr>
                <w:rFonts w:ascii="Times New Roman" w:hAnsi="Times New Roman" w:cs="Times New Roman"/>
                <w:sz w:val="24"/>
                <w:szCs w:val="24"/>
                <w:lang w:val="lv-LV"/>
              </w:rPr>
              <w:t>1.</w:t>
            </w:r>
          </w:p>
        </w:tc>
        <w:tc>
          <w:tcPr>
            <w:tcW w:w="652" w:type="pct"/>
            <w:tcBorders>
              <w:top w:val="single" w:sz="4" w:space="0" w:color="auto"/>
              <w:left w:val="single" w:sz="4" w:space="0" w:color="auto"/>
              <w:bottom w:val="single" w:sz="4" w:space="0" w:color="auto"/>
              <w:right w:val="single" w:sz="4" w:space="0" w:color="auto"/>
            </w:tcBorders>
          </w:tcPr>
          <w:p w:rsidR="00731DDF" w:rsidRPr="00676663" w:rsidRDefault="00731DDF" w:rsidP="009D4FCA">
            <w:pPr>
              <w:rPr>
                <w:rFonts w:ascii="Times New Roman" w:hAnsi="Times New Roman" w:cs="Times New Roman"/>
                <w:sz w:val="24"/>
                <w:szCs w:val="24"/>
                <w:lang w:val="lv-LV"/>
              </w:rPr>
            </w:pPr>
          </w:p>
        </w:tc>
        <w:tc>
          <w:tcPr>
            <w:tcW w:w="1537" w:type="pct"/>
            <w:tcBorders>
              <w:top w:val="single" w:sz="4" w:space="0" w:color="auto"/>
              <w:left w:val="single" w:sz="4" w:space="0" w:color="auto"/>
              <w:bottom w:val="single" w:sz="4" w:space="0" w:color="auto"/>
              <w:right w:val="single" w:sz="4" w:space="0" w:color="auto"/>
            </w:tcBorders>
          </w:tcPr>
          <w:p w:rsidR="00731DDF" w:rsidRPr="00676663" w:rsidRDefault="00737FCC" w:rsidP="009D4FCA">
            <w:pPr>
              <w:rPr>
                <w:rFonts w:ascii="Times New Roman" w:hAnsi="Times New Roman" w:cs="Times New Roman"/>
                <w:sz w:val="24"/>
                <w:szCs w:val="24"/>
                <w:lang w:val="lv-LV"/>
              </w:rPr>
            </w:pPr>
            <w:r>
              <w:rPr>
                <w:rFonts w:ascii="Times New Roman" w:hAnsi="Times New Roman" w:cs="Times New Roman"/>
                <w:sz w:val="24"/>
                <w:szCs w:val="24"/>
                <w:lang w:val="lv-LV"/>
              </w:rPr>
              <w:t xml:space="preserve">  _</w:t>
            </w:r>
          </w:p>
        </w:tc>
        <w:tc>
          <w:tcPr>
            <w:tcW w:w="1126" w:type="pct"/>
            <w:tcBorders>
              <w:top w:val="single" w:sz="4" w:space="0" w:color="auto"/>
              <w:left w:val="single" w:sz="4" w:space="0" w:color="auto"/>
              <w:bottom w:val="single" w:sz="4" w:space="0" w:color="auto"/>
              <w:right w:val="single" w:sz="4" w:space="0" w:color="auto"/>
            </w:tcBorders>
          </w:tcPr>
          <w:p w:rsidR="00731DDF" w:rsidRPr="00676663" w:rsidRDefault="00731DDF" w:rsidP="009D4FCA">
            <w:pPr>
              <w:rPr>
                <w:rFonts w:ascii="Times New Roman" w:hAnsi="Times New Roman" w:cs="Times New Roman"/>
                <w:sz w:val="24"/>
                <w:szCs w:val="24"/>
                <w:lang w:val="lv-LV"/>
              </w:rPr>
            </w:pPr>
            <w:r w:rsidRPr="00676663">
              <w:rPr>
                <w:rFonts w:ascii="Times New Roman" w:hAnsi="Times New Roman" w:cs="Times New Roman"/>
                <w:sz w:val="24"/>
                <w:szCs w:val="24"/>
                <w:lang w:val="lv-LV"/>
              </w:rPr>
              <w:t> biedra nauda</w:t>
            </w:r>
          </w:p>
        </w:tc>
        <w:tc>
          <w:tcPr>
            <w:tcW w:w="1067" w:type="pct"/>
            <w:tcBorders>
              <w:top w:val="single" w:sz="4" w:space="0" w:color="auto"/>
              <w:left w:val="single" w:sz="4" w:space="0" w:color="auto"/>
              <w:bottom w:val="single" w:sz="4" w:space="0" w:color="auto"/>
            </w:tcBorders>
          </w:tcPr>
          <w:p w:rsidR="00731DDF" w:rsidRPr="00676663" w:rsidRDefault="00731DDF" w:rsidP="009D4FCA">
            <w:pPr>
              <w:rPr>
                <w:rFonts w:ascii="Times New Roman" w:hAnsi="Times New Roman" w:cs="Times New Roman"/>
                <w:sz w:val="24"/>
                <w:szCs w:val="24"/>
                <w:lang w:val="lv-LV"/>
              </w:rPr>
            </w:pPr>
            <w:r w:rsidRPr="00676663">
              <w:rPr>
                <w:rFonts w:ascii="Times New Roman" w:hAnsi="Times New Roman" w:cs="Times New Roman"/>
                <w:sz w:val="24"/>
                <w:szCs w:val="24"/>
                <w:lang w:val="lv-LV"/>
              </w:rPr>
              <w:t xml:space="preserve">       </w:t>
            </w:r>
            <w:r w:rsidR="00737FCC">
              <w:rPr>
                <w:rFonts w:ascii="Times New Roman" w:hAnsi="Times New Roman" w:cs="Times New Roman"/>
                <w:sz w:val="24"/>
                <w:szCs w:val="24"/>
                <w:lang w:val="lv-LV"/>
              </w:rPr>
              <w:t>_</w:t>
            </w:r>
          </w:p>
        </w:tc>
      </w:tr>
    </w:tbl>
    <w:p w:rsidR="00731DDF" w:rsidRPr="00676663" w:rsidRDefault="00731DDF" w:rsidP="00731DDF">
      <w:pPr>
        <w:pStyle w:val="NormalWeb"/>
        <w:spacing w:before="0" w:beforeAutospacing="0" w:after="0" w:afterAutospacing="0"/>
        <w:rPr>
          <w:b/>
          <w:bCs/>
        </w:rPr>
      </w:pPr>
      <w:r w:rsidRPr="00676663">
        <w:rPr>
          <w:b/>
          <w:bCs/>
        </w:rPr>
        <w:t>Ziņojums par ziedojumiem</w:t>
      </w:r>
    </w:p>
    <w:p w:rsidR="00731DDF" w:rsidRPr="00676663" w:rsidRDefault="00731DDF" w:rsidP="00731DDF">
      <w:pPr>
        <w:pStyle w:val="NormalWeb"/>
        <w:spacing w:before="0" w:beforeAutospacing="0" w:after="0" w:afterAutospacing="0"/>
        <w:rPr>
          <w:b/>
          <w:bCs/>
          <w:i/>
        </w:rPr>
      </w:pPr>
      <w:r w:rsidRPr="00676663">
        <w:rPr>
          <w:b/>
          <w:bCs/>
          <w:i/>
        </w:rPr>
        <w:t>Saņemtie ziedojumi</w:t>
      </w:r>
      <w:r w:rsidR="00BB2E9B">
        <w:rPr>
          <w:b/>
          <w:bCs/>
          <w:i/>
        </w:rPr>
        <w:t>- 2024.gadā nav</w:t>
      </w:r>
    </w:p>
    <w:tbl>
      <w:tblPr>
        <w:tblW w:w="37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729"/>
        <w:gridCol w:w="1164"/>
        <w:gridCol w:w="1767"/>
        <w:gridCol w:w="1634"/>
        <w:gridCol w:w="895"/>
      </w:tblGrid>
      <w:tr w:rsidR="00731DDF" w:rsidRPr="00676663" w:rsidTr="009D4FCA">
        <w:trPr>
          <w:trHeight w:val="555"/>
          <w:tblCellSpacing w:w="15" w:type="dxa"/>
        </w:trPr>
        <w:tc>
          <w:tcPr>
            <w:tcW w:w="555" w:type="pct"/>
            <w:vAlign w:val="center"/>
          </w:tcPr>
          <w:p w:rsidR="00731DDF" w:rsidRPr="00676663" w:rsidRDefault="00731DDF" w:rsidP="009D4FCA">
            <w:pPr>
              <w:pStyle w:val="NormalWeb"/>
              <w:jc w:val="center"/>
            </w:pPr>
            <w:r w:rsidRPr="00676663">
              <w:t>Nr.p.k</w:t>
            </w:r>
          </w:p>
        </w:tc>
        <w:tc>
          <w:tcPr>
            <w:tcW w:w="919" w:type="pct"/>
            <w:vAlign w:val="center"/>
          </w:tcPr>
          <w:p w:rsidR="00731DDF" w:rsidRPr="00676663" w:rsidRDefault="00731DDF" w:rsidP="009D4FCA">
            <w:pPr>
              <w:pStyle w:val="NormalWeb"/>
              <w:jc w:val="center"/>
            </w:pPr>
            <w:r w:rsidRPr="00676663">
              <w:t>Saņemšanas datums</w:t>
            </w:r>
          </w:p>
        </w:tc>
        <w:tc>
          <w:tcPr>
            <w:tcW w:w="1407" w:type="pct"/>
            <w:vAlign w:val="center"/>
          </w:tcPr>
          <w:p w:rsidR="00731DDF" w:rsidRPr="00676663" w:rsidRDefault="00731DDF" w:rsidP="009D4FCA">
            <w:pPr>
              <w:pStyle w:val="NormalWeb"/>
              <w:jc w:val="center"/>
            </w:pPr>
            <w:r w:rsidRPr="00676663">
              <w:t>Vārds, uzvārds</w:t>
            </w:r>
          </w:p>
        </w:tc>
        <w:tc>
          <w:tcPr>
            <w:tcW w:w="1300" w:type="pct"/>
            <w:vAlign w:val="center"/>
          </w:tcPr>
          <w:p w:rsidR="00731DDF" w:rsidRPr="00676663" w:rsidRDefault="00731DDF" w:rsidP="009D4FCA">
            <w:pPr>
              <w:pStyle w:val="NormalWeb"/>
              <w:jc w:val="center"/>
            </w:pPr>
            <w:r w:rsidRPr="00676663">
              <w:t>Veids</w:t>
            </w:r>
          </w:p>
        </w:tc>
        <w:tc>
          <w:tcPr>
            <w:tcW w:w="688" w:type="pct"/>
            <w:vAlign w:val="center"/>
          </w:tcPr>
          <w:p w:rsidR="00731DDF" w:rsidRPr="00676663" w:rsidRDefault="00731DDF" w:rsidP="009D4FCA">
            <w:pPr>
              <w:pStyle w:val="NormalWeb"/>
              <w:jc w:val="center"/>
            </w:pPr>
            <w:r w:rsidRPr="00676663">
              <w:t>Summa</w:t>
            </w:r>
          </w:p>
        </w:tc>
      </w:tr>
      <w:tr w:rsidR="00731DDF" w:rsidRPr="00676663" w:rsidTr="009D4FCA">
        <w:trPr>
          <w:trHeight w:val="453"/>
          <w:tblCellSpacing w:w="15" w:type="dxa"/>
        </w:trPr>
        <w:tc>
          <w:tcPr>
            <w:tcW w:w="555" w:type="pct"/>
            <w:vAlign w:val="center"/>
          </w:tcPr>
          <w:p w:rsidR="00731DDF" w:rsidRPr="00676663" w:rsidRDefault="00731DDF" w:rsidP="009D4FCA">
            <w:pPr>
              <w:rPr>
                <w:rFonts w:ascii="Times New Roman" w:hAnsi="Times New Roman" w:cs="Times New Roman"/>
                <w:sz w:val="24"/>
                <w:szCs w:val="24"/>
                <w:lang w:val="lv-LV"/>
              </w:rPr>
            </w:pPr>
            <w:r w:rsidRPr="00676663">
              <w:rPr>
                <w:rFonts w:ascii="Times New Roman" w:hAnsi="Times New Roman" w:cs="Times New Roman"/>
                <w:sz w:val="24"/>
                <w:szCs w:val="24"/>
                <w:lang w:val="lv-LV"/>
              </w:rPr>
              <w:t> 1.</w:t>
            </w:r>
          </w:p>
        </w:tc>
        <w:tc>
          <w:tcPr>
            <w:tcW w:w="919" w:type="pct"/>
            <w:vAlign w:val="center"/>
          </w:tcPr>
          <w:p w:rsidR="00731DDF" w:rsidRPr="00676663" w:rsidRDefault="00BB2E9B" w:rsidP="009D4FCA">
            <w:pP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c>
          <w:tcPr>
            <w:tcW w:w="1407" w:type="pct"/>
            <w:vAlign w:val="center"/>
          </w:tcPr>
          <w:p w:rsidR="00731DDF" w:rsidRPr="00676663" w:rsidRDefault="00BB2E9B" w:rsidP="009D4FCA">
            <w:pP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c>
          <w:tcPr>
            <w:tcW w:w="1300" w:type="pct"/>
            <w:vAlign w:val="center"/>
          </w:tcPr>
          <w:p w:rsidR="00731DDF" w:rsidRPr="00676663" w:rsidRDefault="00731DDF" w:rsidP="009D4FCA">
            <w:pPr>
              <w:rPr>
                <w:rFonts w:ascii="Times New Roman" w:hAnsi="Times New Roman" w:cs="Times New Roman"/>
                <w:sz w:val="24"/>
                <w:szCs w:val="24"/>
                <w:lang w:val="lv-LV"/>
              </w:rPr>
            </w:pPr>
            <w:r w:rsidRPr="00676663">
              <w:rPr>
                <w:rFonts w:ascii="Times New Roman" w:hAnsi="Times New Roman" w:cs="Times New Roman"/>
                <w:sz w:val="24"/>
                <w:szCs w:val="24"/>
                <w:lang w:val="lv-LV"/>
              </w:rPr>
              <w:t> </w:t>
            </w:r>
            <w:r w:rsidRPr="00676663">
              <w:rPr>
                <w:rFonts w:ascii="Times New Roman" w:hAnsi="Times New Roman" w:cs="Times New Roman"/>
                <w:bCs/>
                <w:sz w:val="24"/>
                <w:szCs w:val="24"/>
                <w:lang w:val="lv-LV"/>
              </w:rPr>
              <w:t>bezskaidrā naudā</w:t>
            </w:r>
          </w:p>
        </w:tc>
        <w:tc>
          <w:tcPr>
            <w:tcW w:w="688" w:type="pct"/>
            <w:vAlign w:val="center"/>
          </w:tcPr>
          <w:p w:rsidR="00731DDF" w:rsidRPr="00676663" w:rsidRDefault="00BB2E9B" w:rsidP="009D4FCA">
            <w:pP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r>
      <w:tr w:rsidR="00731DDF" w:rsidRPr="00676663" w:rsidTr="009D4FCA">
        <w:trPr>
          <w:trHeight w:val="447"/>
          <w:tblCellSpacing w:w="15" w:type="dxa"/>
        </w:trPr>
        <w:tc>
          <w:tcPr>
            <w:tcW w:w="555" w:type="pct"/>
            <w:vAlign w:val="center"/>
          </w:tcPr>
          <w:p w:rsidR="00731DDF" w:rsidRPr="00676663" w:rsidRDefault="00731DDF" w:rsidP="009D4FCA">
            <w:pPr>
              <w:rPr>
                <w:rFonts w:ascii="Times New Roman" w:hAnsi="Times New Roman" w:cs="Times New Roman"/>
                <w:sz w:val="24"/>
                <w:szCs w:val="24"/>
                <w:lang w:val="lv-LV"/>
              </w:rPr>
            </w:pPr>
            <w:r w:rsidRPr="00676663">
              <w:rPr>
                <w:rFonts w:ascii="Times New Roman" w:hAnsi="Times New Roman" w:cs="Times New Roman"/>
                <w:sz w:val="24"/>
                <w:szCs w:val="24"/>
                <w:lang w:val="lv-LV"/>
              </w:rPr>
              <w:t> 2.</w:t>
            </w:r>
          </w:p>
        </w:tc>
        <w:tc>
          <w:tcPr>
            <w:tcW w:w="919" w:type="pct"/>
            <w:vAlign w:val="center"/>
          </w:tcPr>
          <w:p w:rsidR="00731DDF" w:rsidRPr="00676663" w:rsidRDefault="00731DDF" w:rsidP="009D4FCA">
            <w:pPr>
              <w:rPr>
                <w:rFonts w:ascii="Times New Roman" w:hAnsi="Times New Roman" w:cs="Times New Roman"/>
                <w:sz w:val="24"/>
                <w:szCs w:val="24"/>
                <w:lang w:val="lv-LV"/>
              </w:rPr>
            </w:pPr>
          </w:p>
        </w:tc>
        <w:tc>
          <w:tcPr>
            <w:tcW w:w="1407" w:type="pct"/>
            <w:vAlign w:val="center"/>
          </w:tcPr>
          <w:p w:rsidR="00731DDF" w:rsidRPr="00676663" w:rsidRDefault="00731DDF" w:rsidP="009D4FCA">
            <w:pPr>
              <w:rPr>
                <w:rFonts w:ascii="Times New Roman" w:hAnsi="Times New Roman" w:cs="Times New Roman"/>
                <w:sz w:val="24"/>
                <w:szCs w:val="24"/>
                <w:lang w:val="lv-LV"/>
              </w:rPr>
            </w:pPr>
          </w:p>
        </w:tc>
        <w:tc>
          <w:tcPr>
            <w:tcW w:w="1300" w:type="pct"/>
            <w:vAlign w:val="center"/>
          </w:tcPr>
          <w:p w:rsidR="00731DDF" w:rsidRPr="00676663" w:rsidRDefault="00731DDF" w:rsidP="009D4FCA">
            <w:pPr>
              <w:rPr>
                <w:rFonts w:ascii="Times New Roman" w:hAnsi="Times New Roman" w:cs="Times New Roman"/>
                <w:sz w:val="24"/>
                <w:szCs w:val="24"/>
                <w:lang w:val="lv-LV"/>
              </w:rPr>
            </w:pPr>
            <w:r w:rsidRPr="00676663">
              <w:rPr>
                <w:rFonts w:ascii="Times New Roman" w:hAnsi="Times New Roman" w:cs="Times New Roman"/>
                <w:sz w:val="24"/>
                <w:szCs w:val="24"/>
                <w:lang w:val="lv-LV"/>
              </w:rPr>
              <w:t> </w:t>
            </w:r>
            <w:r w:rsidRPr="00676663">
              <w:rPr>
                <w:rFonts w:ascii="Times New Roman" w:hAnsi="Times New Roman" w:cs="Times New Roman"/>
                <w:bCs/>
                <w:sz w:val="24"/>
                <w:szCs w:val="24"/>
                <w:lang w:val="lv-LV"/>
              </w:rPr>
              <w:t>bezskaidrā naudā</w:t>
            </w:r>
          </w:p>
        </w:tc>
        <w:tc>
          <w:tcPr>
            <w:tcW w:w="688" w:type="pct"/>
            <w:vAlign w:val="center"/>
          </w:tcPr>
          <w:p w:rsidR="00731DDF" w:rsidRPr="00676663" w:rsidRDefault="00731DDF" w:rsidP="009D4FCA">
            <w:pPr>
              <w:rPr>
                <w:rFonts w:ascii="Times New Roman" w:hAnsi="Times New Roman" w:cs="Times New Roman"/>
                <w:sz w:val="24"/>
                <w:szCs w:val="24"/>
                <w:lang w:val="lv-LV"/>
              </w:rPr>
            </w:pPr>
            <w:r w:rsidRPr="00676663">
              <w:rPr>
                <w:rFonts w:ascii="Times New Roman" w:hAnsi="Times New Roman" w:cs="Times New Roman"/>
                <w:sz w:val="24"/>
                <w:szCs w:val="24"/>
                <w:lang w:val="lv-LV"/>
              </w:rPr>
              <w:t xml:space="preserve">  </w:t>
            </w:r>
          </w:p>
        </w:tc>
      </w:tr>
      <w:tr w:rsidR="00731DDF" w:rsidRPr="00676663" w:rsidTr="009D4FCA">
        <w:trPr>
          <w:trHeight w:val="450"/>
          <w:tblCellSpacing w:w="15" w:type="dxa"/>
        </w:trPr>
        <w:tc>
          <w:tcPr>
            <w:tcW w:w="555" w:type="pct"/>
            <w:vAlign w:val="center"/>
          </w:tcPr>
          <w:p w:rsidR="00731DDF" w:rsidRPr="00676663" w:rsidRDefault="00731DDF" w:rsidP="009D4FCA">
            <w:pPr>
              <w:rPr>
                <w:rFonts w:ascii="Times New Roman" w:hAnsi="Times New Roman" w:cs="Times New Roman"/>
                <w:sz w:val="24"/>
                <w:szCs w:val="24"/>
                <w:lang w:val="lv-LV"/>
              </w:rPr>
            </w:pPr>
            <w:r w:rsidRPr="00676663">
              <w:rPr>
                <w:rFonts w:ascii="Times New Roman" w:hAnsi="Times New Roman" w:cs="Times New Roman"/>
                <w:sz w:val="24"/>
                <w:szCs w:val="24"/>
                <w:lang w:val="lv-LV"/>
              </w:rPr>
              <w:t> 3.</w:t>
            </w:r>
          </w:p>
        </w:tc>
        <w:tc>
          <w:tcPr>
            <w:tcW w:w="919" w:type="pct"/>
            <w:vAlign w:val="center"/>
          </w:tcPr>
          <w:p w:rsidR="00731DDF" w:rsidRPr="00676663" w:rsidRDefault="00731DDF" w:rsidP="009D4FCA">
            <w:pPr>
              <w:rPr>
                <w:rFonts w:ascii="Times New Roman" w:hAnsi="Times New Roman" w:cs="Times New Roman"/>
                <w:sz w:val="24"/>
                <w:szCs w:val="24"/>
                <w:lang w:val="lv-LV"/>
              </w:rPr>
            </w:pPr>
          </w:p>
        </w:tc>
        <w:tc>
          <w:tcPr>
            <w:tcW w:w="1407" w:type="pct"/>
            <w:vAlign w:val="center"/>
          </w:tcPr>
          <w:p w:rsidR="00731DDF" w:rsidRPr="00676663" w:rsidRDefault="00731DDF" w:rsidP="009D4FCA">
            <w:pPr>
              <w:rPr>
                <w:rFonts w:ascii="Times New Roman" w:hAnsi="Times New Roman" w:cs="Times New Roman"/>
                <w:sz w:val="24"/>
                <w:szCs w:val="24"/>
                <w:lang w:val="lv-LV"/>
              </w:rPr>
            </w:pPr>
          </w:p>
        </w:tc>
        <w:tc>
          <w:tcPr>
            <w:tcW w:w="1300" w:type="pct"/>
            <w:vAlign w:val="center"/>
          </w:tcPr>
          <w:p w:rsidR="00731DDF" w:rsidRPr="00676663" w:rsidRDefault="00731DDF" w:rsidP="009D4FCA">
            <w:pPr>
              <w:rPr>
                <w:rFonts w:ascii="Times New Roman" w:hAnsi="Times New Roman" w:cs="Times New Roman"/>
                <w:sz w:val="24"/>
                <w:szCs w:val="24"/>
                <w:lang w:val="lv-LV"/>
              </w:rPr>
            </w:pPr>
            <w:r w:rsidRPr="00676663">
              <w:rPr>
                <w:rFonts w:ascii="Times New Roman" w:hAnsi="Times New Roman" w:cs="Times New Roman"/>
                <w:sz w:val="24"/>
                <w:szCs w:val="24"/>
                <w:lang w:val="lv-LV"/>
              </w:rPr>
              <w:t> </w:t>
            </w:r>
            <w:r w:rsidRPr="00676663">
              <w:rPr>
                <w:rFonts w:ascii="Times New Roman" w:hAnsi="Times New Roman" w:cs="Times New Roman"/>
                <w:bCs/>
                <w:sz w:val="24"/>
                <w:szCs w:val="24"/>
                <w:lang w:val="lv-LV"/>
              </w:rPr>
              <w:t>bezskaidrā naudā</w:t>
            </w:r>
          </w:p>
        </w:tc>
        <w:tc>
          <w:tcPr>
            <w:tcW w:w="688" w:type="pct"/>
            <w:vAlign w:val="center"/>
          </w:tcPr>
          <w:p w:rsidR="00731DDF" w:rsidRPr="00676663" w:rsidRDefault="00BB2E9B" w:rsidP="009D4FCA">
            <w:pP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r>
    </w:tbl>
    <w:p w:rsidR="00BB2E9B" w:rsidRDefault="00BB2E9B" w:rsidP="00616350">
      <w:pPr>
        <w:spacing w:after="0" w:line="240" w:lineRule="auto"/>
        <w:jc w:val="both"/>
        <w:rPr>
          <w:rFonts w:ascii="Times New Roman" w:hAnsi="Times New Roman" w:cs="Times New Roman"/>
          <w:b/>
          <w:i/>
          <w:sz w:val="24"/>
          <w:szCs w:val="24"/>
          <w:lang w:val="lv-LV"/>
        </w:rPr>
      </w:pPr>
    </w:p>
    <w:p w:rsidR="00BB2E9B" w:rsidRDefault="00BB2E9B" w:rsidP="00616350">
      <w:pPr>
        <w:spacing w:after="0" w:line="240" w:lineRule="auto"/>
        <w:jc w:val="both"/>
        <w:rPr>
          <w:rFonts w:ascii="Times New Roman" w:hAnsi="Times New Roman" w:cs="Times New Roman"/>
          <w:b/>
          <w:i/>
          <w:sz w:val="24"/>
          <w:szCs w:val="24"/>
          <w:lang w:val="lv-LV"/>
        </w:rPr>
      </w:pPr>
      <w:r>
        <w:rPr>
          <w:rFonts w:ascii="Times New Roman" w:hAnsi="Times New Roman" w:cs="Times New Roman"/>
          <w:b/>
          <w:i/>
          <w:sz w:val="24"/>
          <w:szCs w:val="24"/>
          <w:lang w:val="lv-LV"/>
        </w:rPr>
        <w:t>Partija ir ziedojusi</w:t>
      </w:r>
      <w:r w:rsidR="00F60266">
        <w:rPr>
          <w:rFonts w:ascii="Times New Roman" w:hAnsi="Times New Roman" w:cs="Times New Roman"/>
          <w:b/>
          <w:i/>
          <w:sz w:val="24"/>
          <w:szCs w:val="24"/>
          <w:lang w:val="lv-LV"/>
        </w:rPr>
        <w:t xml:space="preserve"> 100 EUR </w:t>
      </w:r>
      <w:r w:rsidR="00F60266">
        <w:rPr>
          <w:rFonts w:ascii="Times New Roman" w:hAnsi="Times New Roman" w:cs="Times New Roman"/>
          <w:b/>
          <w:i/>
          <w:sz w:val="24"/>
          <w:szCs w:val="24"/>
          <w:lang w:val="lv-LV"/>
        </w:rPr>
        <w:t xml:space="preserve">Lindai </w:t>
      </w:r>
      <w:proofErr w:type="spellStart"/>
      <w:r w:rsidR="00F60266">
        <w:rPr>
          <w:rFonts w:ascii="Times New Roman" w:hAnsi="Times New Roman" w:cs="Times New Roman"/>
          <w:b/>
          <w:i/>
          <w:sz w:val="24"/>
          <w:szCs w:val="24"/>
          <w:lang w:val="lv-LV"/>
        </w:rPr>
        <w:t>Mūzei</w:t>
      </w:r>
      <w:proofErr w:type="spellEnd"/>
      <w:r w:rsidR="00F60266">
        <w:rPr>
          <w:rFonts w:ascii="Times New Roman" w:hAnsi="Times New Roman" w:cs="Times New Roman"/>
          <w:b/>
          <w:i/>
          <w:sz w:val="24"/>
          <w:szCs w:val="24"/>
          <w:lang w:val="lv-LV"/>
        </w:rPr>
        <w:t xml:space="preserve"> sakarā</w:t>
      </w:r>
      <w:r>
        <w:rPr>
          <w:rFonts w:ascii="Times New Roman" w:hAnsi="Times New Roman" w:cs="Times New Roman"/>
          <w:b/>
          <w:i/>
          <w:sz w:val="24"/>
          <w:szCs w:val="24"/>
          <w:lang w:val="lv-LV"/>
        </w:rPr>
        <w:t xml:space="preserve"> ar</w:t>
      </w:r>
      <w:r w:rsidR="00F60266">
        <w:rPr>
          <w:rFonts w:ascii="Times New Roman" w:hAnsi="Times New Roman" w:cs="Times New Roman"/>
          <w:b/>
          <w:i/>
          <w:sz w:val="24"/>
          <w:szCs w:val="24"/>
          <w:lang w:val="lv-LV"/>
        </w:rPr>
        <w:t xml:space="preserve"> viņas vīra, partijas biedra Jāņa  Mūža</w:t>
      </w:r>
      <w:r>
        <w:rPr>
          <w:rFonts w:ascii="Times New Roman" w:hAnsi="Times New Roman" w:cs="Times New Roman"/>
          <w:b/>
          <w:i/>
          <w:sz w:val="24"/>
          <w:szCs w:val="24"/>
          <w:lang w:val="lv-LV"/>
        </w:rPr>
        <w:t xml:space="preserve"> </w:t>
      </w:r>
      <w:r w:rsidR="00F60266">
        <w:rPr>
          <w:rFonts w:ascii="Times New Roman" w:hAnsi="Times New Roman" w:cs="Times New Roman"/>
          <w:b/>
          <w:i/>
          <w:sz w:val="24"/>
          <w:szCs w:val="24"/>
          <w:lang w:val="lv-LV"/>
        </w:rPr>
        <w:t xml:space="preserve">bēru organizēšanu. Pārskaitījums veikts </w:t>
      </w:r>
      <w:r>
        <w:rPr>
          <w:rFonts w:ascii="Times New Roman" w:hAnsi="Times New Roman" w:cs="Times New Roman"/>
          <w:b/>
          <w:i/>
          <w:sz w:val="24"/>
          <w:szCs w:val="24"/>
          <w:lang w:val="lv-LV"/>
        </w:rPr>
        <w:t xml:space="preserve">22.12.2024 </w:t>
      </w:r>
      <w:r w:rsidR="00F60266">
        <w:rPr>
          <w:rFonts w:ascii="Times New Roman" w:hAnsi="Times New Roman" w:cs="Times New Roman"/>
          <w:b/>
          <w:i/>
          <w:sz w:val="24"/>
          <w:szCs w:val="24"/>
          <w:lang w:val="lv-LV"/>
        </w:rPr>
        <w:t>.</w:t>
      </w:r>
    </w:p>
    <w:p w:rsidR="00BB2E9B" w:rsidRDefault="00BB2E9B" w:rsidP="00616350">
      <w:pPr>
        <w:spacing w:after="0" w:line="240" w:lineRule="auto"/>
        <w:jc w:val="both"/>
        <w:rPr>
          <w:rFonts w:ascii="Times New Roman" w:hAnsi="Times New Roman" w:cs="Times New Roman"/>
          <w:b/>
          <w:i/>
          <w:sz w:val="24"/>
          <w:szCs w:val="24"/>
          <w:lang w:val="lv-LV"/>
        </w:rPr>
      </w:pPr>
    </w:p>
    <w:p w:rsidR="00BB2E9B" w:rsidRDefault="00BB2E9B" w:rsidP="00616350">
      <w:pPr>
        <w:spacing w:after="0" w:line="240" w:lineRule="auto"/>
        <w:jc w:val="both"/>
        <w:rPr>
          <w:rFonts w:ascii="Times New Roman" w:hAnsi="Times New Roman" w:cs="Times New Roman"/>
          <w:b/>
          <w:i/>
          <w:sz w:val="24"/>
          <w:szCs w:val="24"/>
          <w:lang w:val="lv-LV"/>
        </w:rPr>
      </w:pPr>
    </w:p>
    <w:p w:rsidR="00731DDF" w:rsidRDefault="00BB2E9B" w:rsidP="00616350">
      <w:pPr>
        <w:spacing w:after="0" w:line="240" w:lineRule="auto"/>
        <w:jc w:val="both"/>
        <w:rPr>
          <w:rFonts w:ascii="Times New Roman" w:hAnsi="Times New Roman" w:cs="Times New Roman"/>
          <w:b/>
          <w:i/>
          <w:sz w:val="24"/>
          <w:szCs w:val="24"/>
          <w:lang w:val="lv-LV"/>
        </w:rPr>
      </w:pPr>
      <w:r>
        <w:rPr>
          <w:rFonts w:ascii="Times New Roman" w:hAnsi="Times New Roman" w:cs="Times New Roman"/>
          <w:b/>
          <w:i/>
          <w:sz w:val="24"/>
          <w:szCs w:val="24"/>
          <w:lang w:val="lv-LV"/>
        </w:rPr>
        <w:t>I</w:t>
      </w:r>
      <w:r w:rsidR="00731DDF" w:rsidRPr="00676663">
        <w:rPr>
          <w:rFonts w:ascii="Times New Roman" w:hAnsi="Times New Roman" w:cs="Times New Roman"/>
          <w:b/>
          <w:i/>
          <w:sz w:val="24"/>
          <w:szCs w:val="24"/>
          <w:lang w:val="lv-LV"/>
        </w:rPr>
        <w:t>nformācija par vadības atalgojumu</w:t>
      </w:r>
    </w:p>
    <w:p w:rsidR="00BB2E9B" w:rsidRPr="00676663" w:rsidRDefault="00BB2E9B" w:rsidP="00616350">
      <w:pPr>
        <w:spacing w:after="0" w:line="240" w:lineRule="auto"/>
        <w:jc w:val="both"/>
        <w:rPr>
          <w:rFonts w:ascii="Times New Roman" w:hAnsi="Times New Roman" w:cs="Times New Roman"/>
          <w:b/>
          <w:i/>
          <w:sz w:val="24"/>
          <w:szCs w:val="24"/>
          <w:lang w:val="lv-LV"/>
        </w:rPr>
      </w:pPr>
    </w:p>
    <w:p w:rsidR="00616350" w:rsidRDefault="00BB2E9B" w:rsidP="00616350">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Partijas valde par 2024</w:t>
      </w:r>
      <w:r w:rsidR="00731DDF" w:rsidRPr="00676663">
        <w:rPr>
          <w:rFonts w:ascii="Times New Roman" w:hAnsi="Times New Roman" w:cs="Times New Roman"/>
          <w:sz w:val="24"/>
          <w:szCs w:val="24"/>
          <w:lang w:val="lv-LV"/>
        </w:rPr>
        <w:t>. gadu atlīdzību vai darba algu nav saņēmusi, darbojās uz brīvprātības pamatiem.</w:t>
      </w:r>
    </w:p>
    <w:p w:rsidR="00731DDF" w:rsidRPr="00616350" w:rsidRDefault="00731DDF" w:rsidP="00616350">
      <w:pPr>
        <w:spacing w:after="0" w:line="240" w:lineRule="auto"/>
        <w:jc w:val="both"/>
        <w:rPr>
          <w:rFonts w:ascii="Times New Roman" w:hAnsi="Times New Roman" w:cs="Times New Roman"/>
          <w:sz w:val="24"/>
          <w:szCs w:val="24"/>
          <w:lang w:val="lv-LV"/>
        </w:rPr>
      </w:pPr>
      <w:r w:rsidRPr="00676663">
        <w:rPr>
          <w:rFonts w:ascii="Times New Roman" w:hAnsi="Times New Roman" w:cs="Times New Roman"/>
          <w:b/>
          <w:i/>
          <w:sz w:val="24"/>
          <w:szCs w:val="24"/>
          <w:lang w:val="lv-LV"/>
        </w:rPr>
        <w:t>Ārpusbilances saistības</w:t>
      </w:r>
    </w:p>
    <w:p w:rsidR="00731DDF" w:rsidRPr="00676663" w:rsidRDefault="00731DDF" w:rsidP="00616350">
      <w:pPr>
        <w:spacing w:after="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 xml:space="preserve">Partijai nav nekādu ārpusbilances saistību, par kurām nebūtu skaidrots bilances pielikumā. Partija nav sniegusi ķīlas, galvojumus vai citas garantijas. </w:t>
      </w:r>
    </w:p>
    <w:p w:rsidR="00731DDF" w:rsidRPr="00676663" w:rsidRDefault="00731DDF" w:rsidP="00616350">
      <w:pPr>
        <w:spacing w:after="0" w:line="240" w:lineRule="auto"/>
        <w:jc w:val="both"/>
        <w:rPr>
          <w:rFonts w:ascii="Times New Roman" w:hAnsi="Times New Roman" w:cs="Times New Roman"/>
          <w:sz w:val="24"/>
          <w:szCs w:val="24"/>
          <w:lang w:val="lv-LV"/>
        </w:rPr>
      </w:pPr>
    </w:p>
    <w:p w:rsidR="00731DDF" w:rsidRPr="00676663" w:rsidRDefault="00731DDF" w:rsidP="00731DDF">
      <w:pPr>
        <w:jc w:val="both"/>
        <w:rPr>
          <w:rFonts w:ascii="Times New Roman" w:hAnsi="Times New Roman" w:cs="Times New Roman"/>
          <w:sz w:val="24"/>
          <w:szCs w:val="24"/>
          <w:lang w:val="lv-LV"/>
        </w:rPr>
      </w:pPr>
    </w:p>
    <w:p w:rsidR="00731DDF" w:rsidRPr="00676663" w:rsidRDefault="00731DDF" w:rsidP="00731DDF">
      <w:pPr>
        <w:jc w:val="both"/>
        <w:rPr>
          <w:rFonts w:ascii="Times New Roman" w:hAnsi="Times New Roman" w:cs="Times New Roman"/>
          <w:sz w:val="24"/>
          <w:szCs w:val="24"/>
          <w:lang w:val="lv-LV"/>
        </w:rPr>
      </w:pPr>
    </w:p>
    <w:p w:rsidR="00616350" w:rsidRDefault="00731DDF" w:rsidP="00616350">
      <w:pPr>
        <w:spacing w:after="0" w:line="240" w:lineRule="auto"/>
        <w:jc w:val="both"/>
        <w:rPr>
          <w:rFonts w:ascii="Times New Roman" w:hAnsi="Times New Roman" w:cs="Times New Roman"/>
          <w:sz w:val="24"/>
          <w:szCs w:val="24"/>
          <w:lang w:val="lv-LV"/>
        </w:rPr>
      </w:pPr>
      <w:r w:rsidRPr="00676663">
        <w:rPr>
          <w:rFonts w:ascii="Times New Roman" w:hAnsi="Times New Roman" w:cs="Times New Roman"/>
          <w:sz w:val="24"/>
          <w:szCs w:val="24"/>
          <w:lang w:val="lv-LV"/>
        </w:rPr>
        <w:t xml:space="preserve">Valdes </w:t>
      </w:r>
      <w:proofErr w:type="spellStart"/>
      <w:r w:rsidRPr="00676663">
        <w:rPr>
          <w:rFonts w:ascii="Times New Roman" w:hAnsi="Times New Roman" w:cs="Times New Roman"/>
          <w:sz w:val="24"/>
          <w:szCs w:val="24"/>
          <w:lang w:val="lv-LV"/>
        </w:rPr>
        <w:t>loceklis___</w:t>
      </w:r>
      <w:r w:rsidR="004F0E37">
        <w:rPr>
          <w:rFonts w:ascii="Times New Roman" w:hAnsi="Times New Roman" w:cs="Times New Roman"/>
          <w:sz w:val="24"/>
          <w:szCs w:val="24"/>
          <w:lang w:val="lv-LV"/>
        </w:rPr>
        <w:t>______________________________Andris</w:t>
      </w:r>
      <w:proofErr w:type="spellEnd"/>
      <w:r w:rsidR="004F0E37">
        <w:rPr>
          <w:rFonts w:ascii="Times New Roman" w:hAnsi="Times New Roman" w:cs="Times New Roman"/>
          <w:sz w:val="24"/>
          <w:szCs w:val="24"/>
          <w:lang w:val="lv-LV"/>
        </w:rPr>
        <w:t xml:space="preserve"> </w:t>
      </w:r>
      <w:bookmarkStart w:id="0" w:name="_GoBack"/>
      <w:bookmarkEnd w:id="0"/>
      <w:r w:rsidRPr="00676663">
        <w:rPr>
          <w:rFonts w:ascii="Times New Roman" w:hAnsi="Times New Roman" w:cs="Times New Roman"/>
          <w:sz w:val="24"/>
          <w:szCs w:val="24"/>
          <w:lang w:val="lv-LV"/>
        </w:rPr>
        <w:t>Rubins</w:t>
      </w:r>
    </w:p>
    <w:p w:rsidR="00731DDF" w:rsidRPr="00616350" w:rsidRDefault="004A52F8" w:rsidP="00616350">
      <w:pPr>
        <w:spacing w:after="0" w:line="240" w:lineRule="auto"/>
        <w:jc w:val="both"/>
        <w:rPr>
          <w:rFonts w:ascii="Times New Roman" w:hAnsi="Times New Roman" w:cs="Times New Roman"/>
          <w:sz w:val="24"/>
          <w:szCs w:val="24"/>
          <w:lang w:val="lv-LV"/>
        </w:rPr>
      </w:pPr>
      <w:r w:rsidRPr="00F60266">
        <w:rPr>
          <w:rFonts w:ascii="Times New Roman" w:hAnsi="Times New Roman" w:cs="Times New Roman"/>
          <w:sz w:val="24"/>
          <w:szCs w:val="24"/>
          <w:lang w:val="lv-LV"/>
        </w:rPr>
        <w:t>2025</w:t>
      </w:r>
      <w:r w:rsidR="00731DDF" w:rsidRPr="00F60266">
        <w:rPr>
          <w:rFonts w:ascii="Times New Roman" w:hAnsi="Times New Roman" w:cs="Times New Roman"/>
          <w:sz w:val="24"/>
          <w:szCs w:val="24"/>
          <w:lang w:val="lv-LV"/>
        </w:rPr>
        <w:t xml:space="preserve">. gada </w:t>
      </w:r>
      <w:r w:rsidR="00F60266">
        <w:rPr>
          <w:rFonts w:ascii="Times New Roman" w:hAnsi="Times New Roman" w:cs="Times New Roman"/>
          <w:sz w:val="24"/>
          <w:szCs w:val="24"/>
          <w:lang w:val="lv-LV"/>
        </w:rPr>
        <w:t>28</w:t>
      </w:r>
      <w:r w:rsidRPr="00F60266">
        <w:rPr>
          <w:rFonts w:ascii="Times New Roman" w:hAnsi="Times New Roman" w:cs="Times New Roman"/>
          <w:sz w:val="24"/>
          <w:szCs w:val="24"/>
          <w:lang w:val="lv-LV"/>
        </w:rPr>
        <w:t>.martā</w:t>
      </w:r>
    </w:p>
    <w:p w:rsidR="00852E18" w:rsidRPr="00676663" w:rsidRDefault="00852E18">
      <w:pPr>
        <w:rPr>
          <w:rFonts w:ascii="Times New Roman" w:hAnsi="Times New Roman" w:cs="Times New Roman"/>
          <w:sz w:val="24"/>
          <w:szCs w:val="24"/>
          <w:lang w:val="lv-LV"/>
        </w:rPr>
      </w:pPr>
    </w:p>
    <w:sectPr w:rsidR="00852E18" w:rsidRPr="006766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BoldItalic">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5287177"/>
    <w:multiLevelType w:val="hybridMultilevel"/>
    <w:tmpl w:val="41C80C88"/>
    <w:lvl w:ilvl="0" w:tplc="1194B418">
      <w:start w:val="8"/>
      <w:numFmt w:val="decimal"/>
      <w:lvlText w:val="%1."/>
      <w:lvlJc w:val="left"/>
      <w:pPr>
        <w:ind w:left="36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B341E1"/>
    <w:multiLevelType w:val="hybridMultilevel"/>
    <w:tmpl w:val="34A28E80"/>
    <w:lvl w:ilvl="0" w:tplc="69FA354C">
      <w:start w:val="1"/>
      <w:numFmt w:val="decimal"/>
      <w:lvlText w:val="%1)"/>
      <w:lvlJc w:val="left"/>
      <w:pPr>
        <w:tabs>
          <w:tab w:val="num" w:pos="510"/>
        </w:tabs>
        <w:ind w:left="567" w:hanging="396"/>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55FB46D0"/>
    <w:multiLevelType w:val="hybridMultilevel"/>
    <w:tmpl w:val="E2C8B91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F54477"/>
    <w:multiLevelType w:val="hybridMultilevel"/>
    <w:tmpl w:val="954ABBB6"/>
    <w:lvl w:ilvl="0" w:tplc="0D6A1E3E">
      <w:start w:val="1"/>
      <w:numFmt w:val="decimal"/>
      <w:lvlText w:val="%1)"/>
      <w:lvlJc w:val="left"/>
      <w:pPr>
        <w:tabs>
          <w:tab w:val="num" w:pos="510"/>
        </w:tabs>
        <w:ind w:left="567" w:hanging="396"/>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6A4C2F7B"/>
    <w:multiLevelType w:val="singleLevel"/>
    <w:tmpl w:val="5AC4741A"/>
    <w:lvl w:ilvl="0">
      <w:start w:val="1"/>
      <w:numFmt w:val="lowerLetter"/>
      <w:lvlText w:val="%1) "/>
      <w:legacy w:legacy="1" w:legacySpace="0" w:legacyIndent="283"/>
      <w:lvlJc w:val="left"/>
      <w:pPr>
        <w:ind w:left="776" w:hanging="283"/>
      </w:pPr>
      <w:rPr>
        <w:rFonts w:ascii="RimTimes" w:hAnsi="RimTimes" w:hint="default"/>
        <w:b w:val="0"/>
        <w:i w:val="0"/>
        <w:sz w:val="20"/>
        <w:u w:val="none"/>
      </w:rPr>
    </w:lvl>
  </w:abstractNum>
  <w:abstractNum w:abstractNumId="6" w15:restartNumberingAfterBreak="0">
    <w:nsid w:val="6ADD767A"/>
    <w:multiLevelType w:val="hybridMultilevel"/>
    <w:tmpl w:val="E6F2615C"/>
    <w:lvl w:ilvl="0" w:tplc="7AD478FA">
      <w:start w:val="4"/>
      <w:numFmt w:val="decimal"/>
      <w:lvlText w:val="%1)"/>
      <w:lvlJc w:val="left"/>
      <w:pPr>
        <w:tabs>
          <w:tab w:val="num" w:pos="510"/>
        </w:tabs>
        <w:ind w:left="567" w:hanging="396"/>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4"/>
  </w:num>
  <w:num w:numId="5">
    <w:abstractNumId w:val="6"/>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DF"/>
    <w:rsid w:val="00025538"/>
    <w:rsid w:val="004A52F8"/>
    <w:rsid w:val="004F0E37"/>
    <w:rsid w:val="00616350"/>
    <w:rsid w:val="00676663"/>
    <w:rsid w:val="006B33AB"/>
    <w:rsid w:val="00731DDF"/>
    <w:rsid w:val="00737FCC"/>
    <w:rsid w:val="00852E18"/>
    <w:rsid w:val="00BB2E9B"/>
    <w:rsid w:val="00C6589A"/>
    <w:rsid w:val="00F6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5EB83-95C0-4790-B879-075EAA57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731DDF"/>
    <w:pPr>
      <w:spacing w:before="75" w:after="75" w:line="240" w:lineRule="auto"/>
      <w:ind w:firstLine="375"/>
      <w:jc w:val="both"/>
    </w:pPr>
    <w:rPr>
      <w:rFonts w:ascii="Times New Roman" w:eastAsia="Times New Roman" w:hAnsi="Times New Roman" w:cs="Times New Roman"/>
      <w:sz w:val="24"/>
      <w:szCs w:val="24"/>
      <w:lang w:val="lv-LV" w:eastAsia="lv-LV"/>
    </w:rPr>
  </w:style>
  <w:style w:type="paragraph" w:styleId="BodyText">
    <w:name w:val="Body Text"/>
    <w:basedOn w:val="Normal"/>
    <w:link w:val="BodyTextChar"/>
    <w:rsid w:val="00731DDF"/>
    <w:pPr>
      <w:spacing w:after="0" w:line="240" w:lineRule="auto"/>
      <w:jc w:val="center"/>
    </w:pPr>
    <w:rPr>
      <w:rFonts w:ascii="Dutch TL" w:eastAsia="Times New Roman" w:hAnsi="Dutch TL" w:cs="Times New Roman"/>
      <w:b/>
      <w:i/>
      <w:sz w:val="32"/>
      <w:szCs w:val="20"/>
      <w:lang w:val="lv-LV" w:eastAsia="en-US"/>
    </w:rPr>
  </w:style>
  <w:style w:type="character" w:customStyle="1" w:styleId="BodyTextChar">
    <w:name w:val="Body Text Char"/>
    <w:basedOn w:val="DefaultParagraphFont"/>
    <w:link w:val="BodyText"/>
    <w:rsid w:val="00731DDF"/>
    <w:rPr>
      <w:rFonts w:ascii="Dutch TL" w:eastAsia="Times New Roman" w:hAnsi="Dutch TL" w:cs="Times New Roman"/>
      <w:b/>
      <w:i/>
      <w:sz w:val="32"/>
      <w:szCs w:val="20"/>
      <w:lang w:val="lv-LV" w:eastAsia="en-US"/>
    </w:rPr>
  </w:style>
  <w:style w:type="paragraph" w:styleId="NormalWeb">
    <w:name w:val="Normal (Web)"/>
    <w:basedOn w:val="Normal"/>
    <w:rsid w:val="00731DD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tyle01">
    <w:name w:val="fontstyle01"/>
    <w:rsid w:val="00731DDF"/>
    <w:rPr>
      <w:rFonts w:ascii="BoldItalic" w:hAnsi="BoldItalic"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3696</Words>
  <Characters>2107</Characters>
  <Application>Microsoft Office Word</Application>
  <DocSecurity>0</DocSecurity>
  <Lines>17</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arubins</cp:lastModifiedBy>
  <cp:revision>4</cp:revision>
  <dcterms:created xsi:type="dcterms:W3CDTF">2025-03-25T12:34:00Z</dcterms:created>
  <dcterms:modified xsi:type="dcterms:W3CDTF">2025-03-28T08:59:00Z</dcterms:modified>
</cp:coreProperties>
</file>