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3E" w:rsidRDefault="00035D3E" w:rsidP="00035D3E">
      <w:pPr>
        <w:pStyle w:val="naislab"/>
        <w:pageBreakBefore/>
        <w:spacing w:before="0" w:after="0"/>
        <w:jc w:val="center"/>
        <w:rPr>
          <w:sz w:val="20"/>
          <w:szCs w:val="20"/>
        </w:rPr>
      </w:pPr>
      <w:r>
        <w:rPr>
          <w:sz w:val="20"/>
          <w:szCs w:val="20"/>
        </w:rPr>
        <w:t>Politiskā partija „Talsu novada attīstībai”</w:t>
      </w:r>
    </w:p>
    <w:p w:rsidR="00035D3E" w:rsidRDefault="00035D3E" w:rsidP="00035D3E">
      <w:pPr>
        <w:pStyle w:val="naislab"/>
        <w:spacing w:before="0" w:after="0"/>
        <w:jc w:val="center"/>
        <w:rPr>
          <w:sz w:val="20"/>
          <w:szCs w:val="20"/>
        </w:rPr>
      </w:pPr>
      <w:r>
        <w:rPr>
          <w:sz w:val="20"/>
          <w:szCs w:val="20"/>
        </w:rPr>
        <w:t>Gada pārskats par 2019.gadu</w:t>
      </w:r>
    </w:p>
    <w:p w:rsidR="00035D3E" w:rsidRDefault="00035D3E" w:rsidP="00035D3E">
      <w:pPr>
        <w:pStyle w:val="naislab"/>
        <w:spacing w:before="0" w:after="0"/>
        <w:rPr>
          <w:sz w:val="16"/>
          <w:szCs w:val="16"/>
        </w:rPr>
      </w:pPr>
    </w:p>
    <w:p w:rsidR="00035D3E" w:rsidRDefault="00035D3E" w:rsidP="00035D3E">
      <w:pPr>
        <w:pStyle w:val="naisf"/>
        <w:jc w:val="center"/>
        <w:rPr>
          <w:b/>
          <w:sz w:val="28"/>
          <w:szCs w:val="28"/>
        </w:rPr>
      </w:pPr>
      <w:r>
        <w:rPr>
          <w:b/>
          <w:sz w:val="28"/>
          <w:szCs w:val="28"/>
        </w:rPr>
        <w:t>Ziņojums</w:t>
      </w:r>
    </w:p>
    <w:tbl>
      <w:tblPr>
        <w:tblW w:w="0" w:type="auto"/>
        <w:tblInd w:w="-15" w:type="dxa"/>
        <w:tblLayout w:type="fixed"/>
        <w:tblLook w:val="04A0" w:firstRow="1" w:lastRow="0" w:firstColumn="1" w:lastColumn="0" w:noHBand="0" w:noVBand="1"/>
      </w:tblPr>
      <w:tblGrid>
        <w:gridCol w:w="3794"/>
        <w:gridCol w:w="2737"/>
        <w:gridCol w:w="3287"/>
      </w:tblGrid>
      <w:tr w:rsidR="00035D3E" w:rsidTr="00035D3E">
        <w:trPr>
          <w:trHeight w:val="461"/>
        </w:trPr>
        <w:tc>
          <w:tcPr>
            <w:tcW w:w="3794" w:type="dxa"/>
            <w:tcBorders>
              <w:top w:val="single" w:sz="4" w:space="0" w:color="000000"/>
              <w:left w:val="single" w:sz="4" w:space="0" w:color="000000"/>
              <w:bottom w:val="single" w:sz="4" w:space="0" w:color="000000"/>
              <w:right w:val="nil"/>
            </w:tcBorders>
            <w:vAlign w:val="center"/>
            <w:hideMark/>
          </w:tcPr>
          <w:p w:rsidR="00035D3E" w:rsidRDefault="00035D3E">
            <w:pPr>
              <w:pStyle w:val="naisf"/>
              <w:snapToGrid w:val="0"/>
              <w:spacing w:before="0" w:after="0"/>
              <w:ind w:firstLine="0"/>
              <w:jc w:val="left"/>
              <w:rPr>
                <w:b/>
                <w:sz w:val="22"/>
                <w:szCs w:val="22"/>
              </w:rPr>
            </w:pPr>
            <w:r>
              <w:rPr>
                <w:b/>
                <w:sz w:val="22"/>
                <w:szCs w:val="22"/>
              </w:rPr>
              <w:t>Politiskās partijas nosaukums</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b/>
                <w:sz w:val="22"/>
                <w:szCs w:val="22"/>
              </w:rPr>
            </w:pPr>
            <w:r>
              <w:rPr>
                <w:b/>
                <w:sz w:val="22"/>
                <w:szCs w:val="22"/>
              </w:rPr>
              <w:t>Talsu novada attīstībai</w:t>
            </w:r>
          </w:p>
        </w:tc>
      </w:tr>
      <w:tr w:rsidR="00035D3E" w:rsidTr="00035D3E">
        <w:trPr>
          <w:trHeight w:val="359"/>
        </w:trPr>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Juridiskā adrese:</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sz w:val="22"/>
                <w:szCs w:val="22"/>
              </w:rPr>
            </w:pPr>
            <w:r>
              <w:rPr>
                <w:sz w:val="22"/>
                <w:szCs w:val="22"/>
              </w:rPr>
              <w:t>Brīvības iela 55, Stende, Talsu nov., LV-3257</w:t>
            </w:r>
          </w:p>
        </w:tc>
      </w:tr>
      <w:tr w:rsidR="00035D3E" w:rsidTr="00035D3E">
        <w:trPr>
          <w:trHeight w:val="341"/>
        </w:trPr>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Reģistrācijas numurs:</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sz w:val="22"/>
                <w:szCs w:val="22"/>
              </w:rPr>
            </w:pPr>
            <w:r>
              <w:rPr>
                <w:sz w:val="22"/>
                <w:szCs w:val="22"/>
              </w:rPr>
              <w:t>40008202285</w:t>
            </w:r>
          </w:p>
        </w:tc>
      </w:tr>
      <w:tr w:rsidR="00035D3E" w:rsidTr="00035D3E">
        <w:trPr>
          <w:trHeight w:val="352"/>
        </w:trPr>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Reģistrācijas datums:</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sz w:val="22"/>
                <w:szCs w:val="22"/>
              </w:rPr>
            </w:pPr>
            <w:r>
              <w:rPr>
                <w:sz w:val="22"/>
                <w:szCs w:val="22"/>
              </w:rPr>
              <w:t>04.12.2012, Rīgā</w:t>
            </w:r>
          </w:p>
        </w:tc>
      </w:tr>
      <w:tr w:rsidR="00035D3E" w:rsidTr="00035D3E">
        <w:trPr>
          <w:trHeight w:val="721"/>
        </w:trPr>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Darbības veids:</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sz w:val="22"/>
                <w:szCs w:val="22"/>
              </w:rPr>
            </w:pPr>
            <w:r>
              <w:rPr>
                <w:sz w:val="22"/>
                <w:szCs w:val="22"/>
              </w:rPr>
              <w:t>Politiska darbība. Partija izveidota, lai veiktu politisku darbību, piedalītos vēlēšanu kampaņā, izvirzītu deputāta kandidātus.</w:t>
            </w:r>
          </w:p>
        </w:tc>
      </w:tr>
      <w:tr w:rsidR="00035D3E" w:rsidTr="00035D3E">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Ziņas par politiskās partijas vadību:</w:t>
            </w:r>
          </w:p>
          <w:p w:rsidR="00035D3E" w:rsidRDefault="00035D3E">
            <w:pPr>
              <w:pStyle w:val="naisf"/>
              <w:snapToGrid w:val="0"/>
              <w:spacing w:before="0" w:after="0"/>
              <w:ind w:firstLine="0"/>
              <w:jc w:val="left"/>
              <w:rPr>
                <w:sz w:val="22"/>
                <w:szCs w:val="22"/>
              </w:rPr>
            </w:pPr>
          </w:p>
          <w:p w:rsidR="00035D3E" w:rsidRDefault="00035D3E">
            <w:pPr>
              <w:pStyle w:val="naisf"/>
              <w:spacing w:before="0" w:after="0"/>
              <w:ind w:firstLine="0"/>
              <w:jc w:val="left"/>
              <w:rPr>
                <w:sz w:val="22"/>
                <w:szCs w:val="22"/>
              </w:rPr>
            </w:pPr>
            <w:r>
              <w:rPr>
                <w:sz w:val="22"/>
                <w:szCs w:val="22"/>
              </w:rPr>
              <w:t>Valdes locekļi:</w:t>
            </w:r>
          </w:p>
        </w:tc>
        <w:tc>
          <w:tcPr>
            <w:tcW w:w="2737"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color w:val="FF0000"/>
                <w:sz w:val="22"/>
                <w:szCs w:val="22"/>
              </w:rPr>
            </w:pPr>
          </w:p>
          <w:p w:rsidR="00035D3E" w:rsidRDefault="00035D3E">
            <w:pPr>
              <w:pStyle w:val="naisf"/>
              <w:spacing w:before="0" w:after="0"/>
              <w:ind w:firstLine="0"/>
              <w:jc w:val="left"/>
              <w:rPr>
                <w:color w:val="FF0000"/>
                <w:sz w:val="22"/>
                <w:szCs w:val="22"/>
              </w:rPr>
            </w:pPr>
          </w:p>
          <w:p w:rsidR="00035D3E" w:rsidRDefault="00035D3E">
            <w:pPr>
              <w:pStyle w:val="naisf"/>
              <w:spacing w:before="0" w:after="0"/>
              <w:ind w:firstLine="0"/>
              <w:jc w:val="left"/>
              <w:rPr>
                <w:color w:val="FF0000"/>
                <w:sz w:val="22"/>
                <w:szCs w:val="22"/>
              </w:rPr>
            </w:pPr>
          </w:p>
          <w:p w:rsidR="00035D3E" w:rsidRDefault="00035D3E">
            <w:pPr>
              <w:pStyle w:val="naisf"/>
              <w:spacing w:before="0" w:after="0"/>
              <w:ind w:firstLine="0"/>
              <w:jc w:val="left"/>
              <w:rPr>
                <w:color w:val="FF0000"/>
                <w:sz w:val="22"/>
                <w:szCs w:val="22"/>
              </w:rPr>
            </w:pPr>
          </w:p>
          <w:p w:rsidR="00035D3E" w:rsidRDefault="00035D3E">
            <w:pPr>
              <w:pStyle w:val="naisf"/>
              <w:spacing w:before="0" w:after="0"/>
              <w:ind w:firstLine="0"/>
              <w:jc w:val="left"/>
              <w:rPr>
                <w:sz w:val="22"/>
                <w:szCs w:val="22"/>
              </w:rPr>
            </w:pPr>
            <w:r>
              <w:rPr>
                <w:sz w:val="22"/>
                <w:szCs w:val="22"/>
              </w:rPr>
              <w:t>Aldis Vilsons</w:t>
            </w:r>
          </w:p>
          <w:p w:rsidR="00035D3E" w:rsidRDefault="00035D3E">
            <w:pPr>
              <w:pStyle w:val="naisf"/>
              <w:spacing w:before="0" w:after="0"/>
              <w:ind w:firstLine="0"/>
              <w:jc w:val="left"/>
              <w:rPr>
                <w:sz w:val="22"/>
                <w:szCs w:val="22"/>
              </w:rPr>
            </w:pPr>
            <w:r>
              <w:rPr>
                <w:sz w:val="22"/>
                <w:szCs w:val="22"/>
              </w:rPr>
              <w:t>Andis Astrātovs</w:t>
            </w:r>
          </w:p>
          <w:p w:rsidR="00035D3E" w:rsidRDefault="00035D3E">
            <w:pPr>
              <w:pStyle w:val="naisf"/>
              <w:spacing w:before="0" w:after="0"/>
              <w:ind w:firstLine="0"/>
              <w:jc w:val="left"/>
              <w:rPr>
                <w:sz w:val="22"/>
                <w:szCs w:val="22"/>
              </w:rPr>
            </w:pPr>
            <w:r>
              <w:rPr>
                <w:sz w:val="22"/>
                <w:szCs w:val="22"/>
              </w:rPr>
              <w:t>Oskars Āboliņš</w:t>
            </w:r>
          </w:p>
          <w:p w:rsidR="00035D3E" w:rsidRDefault="00035D3E">
            <w:pPr>
              <w:pStyle w:val="naisf"/>
              <w:spacing w:before="0" w:after="0"/>
              <w:ind w:firstLine="0"/>
              <w:jc w:val="left"/>
              <w:rPr>
                <w:sz w:val="22"/>
                <w:szCs w:val="22"/>
              </w:rPr>
            </w:pPr>
            <w:r>
              <w:rPr>
                <w:sz w:val="22"/>
                <w:szCs w:val="22"/>
              </w:rPr>
              <w:t>Oļegs Solovjovs</w:t>
            </w:r>
          </w:p>
          <w:p w:rsidR="00035D3E" w:rsidRDefault="00035D3E">
            <w:pPr>
              <w:pStyle w:val="naisf"/>
              <w:spacing w:before="0" w:after="0"/>
              <w:ind w:firstLine="0"/>
              <w:jc w:val="left"/>
              <w:rPr>
                <w:sz w:val="22"/>
                <w:szCs w:val="22"/>
              </w:rPr>
            </w:pPr>
            <w:r>
              <w:rPr>
                <w:sz w:val="22"/>
                <w:szCs w:val="22"/>
              </w:rPr>
              <w:t>Andis Vicinskis</w:t>
            </w:r>
          </w:p>
          <w:p w:rsidR="00035D3E" w:rsidRDefault="00035D3E">
            <w:pPr>
              <w:pStyle w:val="naisf"/>
              <w:spacing w:before="0" w:after="0"/>
              <w:ind w:firstLine="0"/>
              <w:jc w:val="left"/>
              <w:rPr>
                <w:sz w:val="22"/>
                <w:szCs w:val="22"/>
              </w:rPr>
            </w:pPr>
            <w:r>
              <w:rPr>
                <w:sz w:val="22"/>
                <w:szCs w:val="22"/>
              </w:rPr>
              <w:t>Gaida Krūze</w:t>
            </w:r>
          </w:p>
          <w:p w:rsidR="00035D3E" w:rsidRDefault="00035D3E">
            <w:pPr>
              <w:pStyle w:val="naisf"/>
              <w:spacing w:before="0" w:after="0"/>
              <w:ind w:firstLine="0"/>
              <w:jc w:val="left"/>
              <w:rPr>
                <w:sz w:val="22"/>
                <w:szCs w:val="22"/>
              </w:rPr>
            </w:pPr>
            <w:r>
              <w:rPr>
                <w:sz w:val="22"/>
                <w:szCs w:val="22"/>
              </w:rPr>
              <w:t>Aivars Lācarus</w:t>
            </w:r>
          </w:p>
          <w:p w:rsidR="00035D3E" w:rsidRDefault="00035D3E">
            <w:pPr>
              <w:pStyle w:val="naisf"/>
              <w:spacing w:before="0" w:after="0"/>
              <w:ind w:firstLine="0"/>
              <w:jc w:val="left"/>
              <w:rPr>
                <w:sz w:val="22"/>
                <w:szCs w:val="22"/>
              </w:rPr>
            </w:pPr>
            <w:r>
              <w:rPr>
                <w:sz w:val="22"/>
                <w:szCs w:val="22"/>
              </w:rPr>
              <w:t>Kaspars Maķevics</w:t>
            </w:r>
          </w:p>
          <w:p w:rsidR="00035D3E" w:rsidRDefault="00035D3E">
            <w:pPr>
              <w:pStyle w:val="naisf"/>
              <w:spacing w:before="0" w:after="0"/>
              <w:ind w:firstLine="0"/>
              <w:jc w:val="left"/>
              <w:rPr>
                <w:sz w:val="22"/>
                <w:szCs w:val="22"/>
              </w:rPr>
            </w:pPr>
            <w:r>
              <w:rPr>
                <w:sz w:val="22"/>
                <w:szCs w:val="22"/>
              </w:rPr>
              <w:t>Dace Zeļģe</w:t>
            </w:r>
          </w:p>
          <w:p w:rsidR="00035D3E" w:rsidRDefault="00035D3E">
            <w:pPr>
              <w:pStyle w:val="naisf"/>
              <w:spacing w:before="0" w:after="0"/>
              <w:ind w:firstLine="0"/>
              <w:jc w:val="left"/>
              <w:rPr>
                <w:sz w:val="22"/>
                <w:szCs w:val="22"/>
              </w:rPr>
            </w:pPr>
            <w:r>
              <w:rPr>
                <w:sz w:val="22"/>
                <w:szCs w:val="22"/>
              </w:rPr>
              <w:t>Māris Bērziņš</w:t>
            </w:r>
          </w:p>
          <w:p w:rsidR="00035D3E" w:rsidRDefault="00035D3E">
            <w:pPr>
              <w:pStyle w:val="naisf"/>
              <w:spacing w:before="0" w:after="0"/>
              <w:ind w:firstLine="0"/>
              <w:jc w:val="left"/>
              <w:rPr>
                <w:sz w:val="22"/>
                <w:szCs w:val="22"/>
              </w:rPr>
            </w:pPr>
            <w:r>
              <w:rPr>
                <w:sz w:val="22"/>
                <w:szCs w:val="22"/>
              </w:rPr>
              <w:t>Normunds Krūze</w:t>
            </w:r>
          </w:p>
          <w:p w:rsidR="00035D3E" w:rsidRDefault="00035D3E">
            <w:pPr>
              <w:pStyle w:val="naisf"/>
              <w:spacing w:before="0" w:after="0"/>
              <w:ind w:firstLine="0"/>
              <w:jc w:val="left"/>
              <w:rPr>
                <w:sz w:val="22"/>
                <w:szCs w:val="22"/>
              </w:rPr>
            </w:pPr>
            <w:r>
              <w:rPr>
                <w:sz w:val="22"/>
                <w:szCs w:val="22"/>
              </w:rPr>
              <w:t>Aivars Šķuburs</w:t>
            </w:r>
          </w:p>
          <w:p w:rsidR="00035D3E" w:rsidRDefault="00035D3E">
            <w:pPr>
              <w:pStyle w:val="naisf"/>
              <w:spacing w:before="0" w:after="0"/>
              <w:ind w:firstLine="0"/>
              <w:jc w:val="left"/>
              <w:rPr>
                <w:sz w:val="22"/>
                <w:szCs w:val="22"/>
              </w:rPr>
            </w:pPr>
            <w:r>
              <w:rPr>
                <w:sz w:val="22"/>
                <w:szCs w:val="22"/>
              </w:rPr>
              <w:t>Ēvalds Šmala – Šmāliņš</w:t>
            </w:r>
          </w:p>
          <w:p w:rsidR="00035D3E" w:rsidRDefault="00035D3E">
            <w:pPr>
              <w:pStyle w:val="naisf"/>
              <w:spacing w:before="0" w:after="0"/>
              <w:ind w:firstLine="0"/>
              <w:jc w:val="left"/>
              <w:rPr>
                <w:color w:val="FF0000"/>
                <w:sz w:val="22"/>
                <w:szCs w:val="22"/>
              </w:rPr>
            </w:pPr>
          </w:p>
        </w:tc>
        <w:tc>
          <w:tcPr>
            <w:tcW w:w="3287" w:type="dxa"/>
            <w:tcBorders>
              <w:top w:val="single" w:sz="4" w:space="0" w:color="000000"/>
              <w:left w:val="single" w:sz="4" w:space="0" w:color="000000"/>
              <w:bottom w:val="single" w:sz="4" w:space="0" w:color="000000"/>
              <w:right w:val="single" w:sz="4" w:space="0" w:color="000000"/>
            </w:tcBorders>
          </w:tcPr>
          <w:p w:rsidR="00035D3E" w:rsidRDefault="00035D3E">
            <w:pPr>
              <w:pStyle w:val="naisf"/>
              <w:snapToGrid w:val="0"/>
              <w:spacing w:before="0" w:after="0"/>
              <w:ind w:firstLine="0"/>
              <w:jc w:val="left"/>
              <w:rPr>
                <w:color w:val="000000"/>
                <w:sz w:val="22"/>
                <w:szCs w:val="22"/>
              </w:rPr>
            </w:pPr>
          </w:p>
          <w:p w:rsidR="00035D3E" w:rsidRDefault="00035D3E">
            <w:pPr>
              <w:pStyle w:val="naisf"/>
              <w:snapToGrid w:val="0"/>
              <w:spacing w:before="0" w:after="0"/>
              <w:ind w:firstLine="0"/>
              <w:jc w:val="left"/>
              <w:rPr>
                <w:color w:val="000000"/>
                <w:sz w:val="22"/>
                <w:szCs w:val="22"/>
              </w:rPr>
            </w:pPr>
          </w:p>
          <w:p w:rsidR="00035D3E" w:rsidRDefault="00035D3E">
            <w:pPr>
              <w:pStyle w:val="naisf"/>
              <w:snapToGrid w:val="0"/>
              <w:spacing w:before="0" w:after="0"/>
              <w:ind w:firstLine="0"/>
              <w:jc w:val="left"/>
              <w:rPr>
                <w:color w:val="000000"/>
                <w:sz w:val="22"/>
                <w:szCs w:val="22"/>
              </w:rPr>
            </w:pPr>
            <w:r>
              <w:rPr>
                <w:color w:val="000000"/>
                <w:sz w:val="22"/>
                <w:szCs w:val="22"/>
              </w:rPr>
              <w:t>Amatā stāšanās datums:</w:t>
            </w:r>
          </w:p>
          <w:p w:rsidR="00035D3E" w:rsidRDefault="00035D3E">
            <w:pPr>
              <w:pStyle w:val="naisf"/>
              <w:snapToGrid w:val="0"/>
              <w:spacing w:before="0" w:after="0"/>
              <w:ind w:firstLine="0"/>
              <w:jc w:val="left"/>
              <w:rPr>
                <w:color w:val="000000"/>
                <w:sz w:val="22"/>
                <w:szCs w:val="22"/>
              </w:rPr>
            </w:pPr>
          </w:p>
          <w:p w:rsidR="00035D3E" w:rsidRDefault="00035D3E">
            <w:pPr>
              <w:pStyle w:val="naisf"/>
              <w:spacing w:before="0" w:after="0"/>
              <w:ind w:firstLine="0"/>
              <w:jc w:val="left"/>
              <w:rPr>
                <w:sz w:val="22"/>
                <w:szCs w:val="22"/>
              </w:rPr>
            </w:pPr>
          </w:p>
          <w:p w:rsidR="00035D3E" w:rsidRDefault="00035D3E">
            <w:pPr>
              <w:pStyle w:val="naisf"/>
              <w:spacing w:before="0" w:after="0"/>
              <w:ind w:firstLine="0"/>
              <w:jc w:val="left"/>
              <w:rPr>
                <w:sz w:val="22"/>
                <w:szCs w:val="22"/>
              </w:rPr>
            </w:pPr>
          </w:p>
          <w:p w:rsidR="00035D3E" w:rsidRDefault="00035D3E">
            <w:pPr>
              <w:pStyle w:val="naisf"/>
              <w:spacing w:before="0" w:after="0"/>
              <w:ind w:firstLine="0"/>
              <w:jc w:val="left"/>
              <w:rPr>
                <w:sz w:val="22"/>
                <w:szCs w:val="22"/>
              </w:rPr>
            </w:pPr>
          </w:p>
          <w:p w:rsidR="00035D3E" w:rsidRDefault="00035D3E">
            <w:pPr>
              <w:pStyle w:val="naisf"/>
              <w:spacing w:before="0" w:after="0"/>
              <w:ind w:firstLine="0"/>
              <w:jc w:val="left"/>
              <w:rPr>
                <w:sz w:val="22"/>
                <w:szCs w:val="22"/>
              </w:rPr>
            </w:pPr>
          </w:p>
          <w:p w:rsidR="00035D3E" w:rsidRDefault="00035D3E">
            <w:pPr>
              <w:pStyle w:val="naisf"/>
              <w:spacing w:before="0" w:after="0"/>
              <w:ind w:firstLine="0"/>
              <w:jc w:val="left"/>
              <w:rPr>
                <w:sz w:val="22"/>
                <w:szCs w:val="22"/>
              </w:rPr>
            </w:pPr>
          </w:p>
          <w:p w:rsidR="00035D3E" w:rsidRDefault="00035D3E">
            <w:pPr>
              <w:pStyle w:val="naisf"/>
              <w:spacing w:before="0" w:after="0"/>
              <w:ind w:firstLine="0"/>
              <w:jc w:val="left"/>
              <w:rPr>
                <w:color w:val="000000"/>
                <w:sz w:val="22"/>
                <w:szCs w:val="22"/>
              </w:rPr>
            </w:pPr>
            <w:r>
              <w:rPr>
                <w:color w:val="000000"/>
                <w:sz w:val="22"/>
                <w:szCs w:val="22"/>
              </w:rPr>
              <w:t>līdz  21.06.2019</w:t>
            </w:r>
          </w:p>
          <w:p w:rsidR="00035D3E" w:rsidRDefault="00035D3E">
            <w:pPr>
              <w:pStyle w:val="naisf"/>
              <w:spacing w:before="0" w:after="0"/>
              <w:ind w:firstLine="0"/>
              <w:jc w:val="left"/>
              <w:rPr>
                <w:color w:val="000000"/>
                <w:sz w:val="22"/>
                <w:szCs w:val="22"/>
              </w:rPr>
            </w:pPr>
            <w:r>
              <w:rPr>
                <w:color w:val="000000"/>
                <w:sz w:val="22"/>
                <w:szCs w:val="22"/>
              </w:rPr>
              <w:t>līdz  21.06.2019</w:t>
            </w:r>
          </w:p>
          <w:p w:rsidR="00035D3E" w:rsidRDefault="00035D3E">
            <w:pPr>
              <w:pStyle w:val="naisf"/>
              <w:spacing w:before="0" w:after="0"/>
              <w:ind w:firstLine="0"/>
              <w:jc w:val="left"/>
              <w:rPr>
                <w:color w:val="000000"/>
                <w:sz w:val="22"/>
                <w:szCs w:val="22"/>
              </w:rPr>
            </w:pPr>
            <w:r>
              <w:rPr>
                <w:color w:val="000000"/>
                <w:sz w:val="22"/>
                <w:szCs w:val="22"/>
              </w:rPr>
              <w:t>līdz  21.06.2019</w:t>
            </w:r>
          </w:p>
          <w:p w:rsidR="00035D3E" w:rsidRDefault="00035D3E">
            <w:pPr>
              <w:pStyle w:val="naisf"/>
              <w:spacing w:before="0" w:after="0"/>
              <w:ind w:firstLine="0"/>
              <w:jc w:val="left"/>
              <w:rPr>
                <w:sz w:val="22"/>
                <w:szCs w:val="22"/>
              </w:rPr>
            </w:pPr>
            <w:r>
              <w:rPr>
                <w:color w:val="000000"/>
                <w:sz w:val="22"/>
                <w:szCs w:val="22"/>
              </w:rPr>
              <w:t>līdz  21.06.2019</w:t>
            </w:r>
          </w:p>
          <w:p w:rsidR="00035D3E" w:rsidRDefault="00035D3E">
            <w:pPr>
              <w:pStyle w:val="naisf"/>
              <w:spacing w:before="0" w:after="0"/>
              <w:ind w:firstLine="0"/>
              <w:jc w:val="left"/>
              <w:rPr>
                <w:color w:val="000000"/>
                <w:sz w:val="22"/>
                <w:szCs w:val="22"/>
              </w:rPr>
            </w:pPr>
            <w:r>
              <w:rPr>
                <w:color w:val="000000"/>
                <w:sz w:val="22"/>
                <w:szCs w:val="22"/>
              </w:rPr>
              <w:t>no    21.06.2019</w:t>
            </w:r>
          </w:p>
          <w:p w:rsidR="00035D3E" w:rsidRDefault="00035D3E">
            <w:pPr>
              <w:pStyle w:val="naisf"/>
              <w:spacing w:before="0" w:after="0"/>
              <w:ind w:firstLine="0"/>
              <w:jc w:val="left"/>
              <w:rPr>
                <w:color w:val="000000"/>
                <w:sz w:val="22"/>
                <w:szCs w:val="22"/>
              </w:rPr>
            </w:pPr>
            <w:r>
              <w:rPr>
                <w:color w:val="000000"/>
                <w:sz w:val="22"/>
                <w:szCs w:val="22"/>
              </w:rPr>
              <w:t>no    21.06.2019</w:t>
            </w:r>
          </w:p>
          <w:p w:rsidR="00035D3E" w:rsidRDefault="00035D3E">
            <w:pPr>
              <w:pStyle w:val="naisf"/>
              <w:spacing w:before="0" w:after="0"/>
              <w:ind w:firstLine="0"/>
              <w:jc w:val="left"/>
              <w:rPr>
                <w:color w:val="000000"/>
                <w:sz w:val="22"/>
                <w:szCs w:val="22"/>
              </w:rPr>
            </w:pPr>
            <w:r>
              <w:rPr>
                <w:color w:val="000000"/>
                <w:sz w:val="22"/>
                <w:szCs w:val="22"/>
              </w:rPr>
              <w:t>no    21.06.2019</w:t>
            </w:r>
          </w:p>
          <w:p w:rsidR="00035D3E" w:rsidRDefault="00035D3E">
            <w:pPr>
              <w:pStyle w:val="naisf"/>
              <w:spacing w:before="0" w:after="0"/>
              <w:ind w:firstLine="0"/>
              <w:jc w:val="left"/>
              <w:rPr>
                <w:color w:val="000000"/>
                <w:sz w:val="22"/>
                <w:szCs w:val="22"/>
              </w:rPr>
            </w:pPr>
            <w:r>
              <w:rPr>
                <w:color w:val="000000"/>
                <w:sz w:val="22"/>
                <w:szCs w:val="22"/>
              </w:rPr>
              <w:t>no    21.06.2019</w:t>
            </w:r>
          </w:p>
          <w:p w:rsidR="00035D3E" w:rsidRDefault="00035D3E">
            <w:pPr>
              <w:pStyle w:val="naisf"/>
              <w:spacing w:before="0" w:after="0"/>
              <w:ind w:firstLine="0"/>
              <w:jc w:val="left"/>
              <w:rPr>
                <w:color w:val="000000"/>
                <w:sz w:val="22"/>
                <w:szCs w:val="22"/>
              </w:rPr>
            </w:pPr>
          </w:p>
        </w:tc>
      </w:tr>
      <w:tr w:rsidR="00035D3E" w:rsidTr="00035D3E">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pPr>
          </w:p>
          <w:p w:rsidR="00035D3E" w:rsidRDefault="00035D3E">
            <w:pPr>
              <w:pStyle w:val="naisf"/>
              <w:snapToGrid w:val="0"/>
              <w:spacing w:before="0" w:after="0"/>
              <w:ind w:firstLine="0"/>
              <w:jc w:val="left"/>
              <w:rPr>
                <w:sz w:val="22"/>
                <w:szCs w:val="22"/>
              </w:rPr>
            </w:pPr>
            <w:r>
              <w:rPr>
                <w:sz w:val="22"/>
                <w:szCs w:val="22"/>
              </w:rPr>
              <w:t xml:space="preserve">Skaidrojums pie bilances un ieņēmumu un izdevumu pārskata posteņiem: </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color w:val="000000"/>
                <w:sz w:val="22"/>
                <w:szCs w:val="22"/>
              </w:rPr>
            </w:pPr>
            <w:r>
              <w:rPr>
                <w:color w:val="000000"/>
                <w:sz w:val="22"/>
                <w:szCs w:val="22"/>
              </w:rPr>
              <w:t>Pārskata gadā nav veikti ilgtermiņa finanšu ieguldījumi;      īpašumā vai valdījumā nav nemateriāliem ieguldījumi un pamatlīdzekļi.</w:t>
            </w:r>
          </w:p>
          <w:p w:rsidR="00035D3E" w:rsidRDefault="00035D3E">
            <w:pPr>
              <w:pStyle w:val="naisf"/>
              <w:spacing w:before="0" w:after="0"/>
              <w:ind w:firstLine="0"/>
              <w:rPr>
                <w:color w:val="000000"/>
                <w:sz w:val="22"/>
                <w:szCs w:val="22"/>
              </w:rPr>
            </w:pPr>
            <w:r>
              <w:rPr>
                <w:color w:val="000000"/>
                <w:sz w:val="22"/>
                <w:szCs w:val="22"/>
              </w:rPr>
              <w:t>Naudas līdzekļu atlikums 2019.gada 31.decembrī ir 18 EUR.</w:t>
            </w:r>
          </w:p>
          <w:p w:rsidR="00035D3E" w:rsidRDefault="00035D3E">
            <w:pPr>
              <w:pStyle w:val="naisf"/>
              <w:spacing w:before="0" w:after="0"/>
              <w:ind w:firstLine="0"/>
              <w:rPr>
                <w:color w:val="000000"/>
                <w:sz w:val="22"/>
                <w:szCs w:val="22"/>
              </w:rPr>
            </w:pPr>
            <w:r>
              <w:rPr>
                <w:color w:val="000000"/>
                <w:sz w:val="22"/>
                <w:szCs w:val="22"/>
              </w:rPr>
              <w:t>Pārējie kreditori – norēķini ar piegādātājiem par pakalpojumiem, summa 354 EUR.</w:t>
            </w:r>
          </w:p>
          <w:p w:rsidR="00035D3E" w:rsidRDefault="00035D3E">
            <w:pPr>
              <w:pStyle w:val="naisf"/>
              <w:spacing w:before="0" w:after="0"/>
              <w:ind w:firstLine="0"/>
              <w:rPr>
                <w:sz w:val="22"/>
                <w:szCs w:val="22"/>
              </w:rPr>
            </w:pPr>
            <w:r>
              <w:rPr>
                <w:sz w:val="22"/>
                <w:szCs w:val="22"/>
              </w:rPr>
              <w:t>Aizdevumi nav saņemti.</w:t>
            </w:r>
          </w:p>
          <w:p w:rsidR="00035D3E" w:rsidRDefault="00035D3E">
            <w:pPr>
              <w:pStyle w:val="naisf"/>
              <w:spacing w:before="0" w:after="0"/>
              <w:ind w:firstLine="0"/>
              <w:rPr>
                <w:sz w:val="22"/>
                <w:szCs w:val="22"/>
              </w:rPr>
            </w:pPr>
            <w:r>
              <w:rPr>
                <w:sz w:val="22"/>
                <w:szCs w:val="22"/>
              </w:rPr>
              <w:t>Pēc politiskās partijas „Talsu novada attīstībai” ieņēmumu un izdevumu pārskata par 2019.gadu redzams, ka partijas ieņēmumi ir 1600 EUR ko veido ziedojumi, bet kopējie izdevumi par 2019.gadu ir 1177 EUR, ko veido telpu īres, reklāmas, grāmatvedības pakalpojumi un bankas komisijas naudas izdevumi. Ieņēmumu pārsniegums pār izdevumiem 2019.gadā ir 423 EUR.</w:t>
            </w:r>
          </w:p>
        </w:tc>
      </w:tr>
      <w:tr w:rsidR="00035D3E" w:rsidTr="00035D3E">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Informācija par fondiem:</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sz w:val="22"/>
                <w:szCs w:val="22"/>
              </w:rPr>
            </w:pPr>
            <w:r>
              <w:rPr>
                <w:sz w:val="22"/>
                <w:szCs w:val="22"/>
              </w:rPr>
              <w:t>Pārskata gada sākumā rezerves fonds bija (759) EUR.</w:t>
            </w:r>
          </w:p>
          <w:p w:rsidR="00035D3E" w:rsidRDefault="00035D3E">
            <w:pPr>
              <w:pStyle w:val="naisf"/>
              <w:spacing w:before="0" w:after="0"/>
              <w:ind w:firstLine="0"/>
              <w:rPr>
                <w:color w:val="000000"/>
                <w:sz w:val="22"/>
                <w:szCs w:val="22"/>
              </w:rPr>
            </w:pPr>
            <w:r>
              <w:rPr>
                <w:sz w:val="22"/>
                <w:szCs w:val="22"/>
              </w:rPr>
              <w:t>Pārskata gada beigās rezerves atlikuma fonds ir (336) EUR, kas veidojies no pārskata gada ieņēmuma pārsnieguma pār izdevumiem  423 EUR.</w:t>
            </w:r>
            <w:r>
              <w:rPr>
                <w:color w:val="3366FF"/>
                <w:sz w:val="22"/>
                <w:szCs w:val="22"/>
              </w:rPr>
              <w:t xml:space="preserve"> </w:t>
            </w:r>
          </w:p>
        </w:tc>
      </w:tr>
      <w:tr w:rsidR="00035D3E" w:rsidTr="00035D3E">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Informācija par nodokļiem un nodevām:</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sz w:val="22"/>
                <w:szCs w:val="22"/>
              </w:rPr>
            </w:pPr>
            <w:r>
              <w:rPr>
                <w:sz w:val="22"/>
                <w:szCs w:val="22"/>
              </w:rPr>
              <w:t>Pārskata gadā netika maksāti nodokļi un nodevas.</w:t>
            </w:r>
          </w:p>
        </w:tc>
      </w:tr>
      <w:tr w:rsidR="00035D3E" w:rsidTr="00035D3E">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Ziņas par saņemtajiem ziedojumiem:</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sz w:val="22"/>
                <w:szCs w:val="22"/>
              </w:rPr>
            </w:pPr>
            <w:r>
              <w:rPr>
                <w:sz w:val="22"/>
                <w:szCs w:val="22"/>
              </w:rPr>
              <w:t>Ziedojumi 2019.gadā ir saņemti 1600 EUR.</w:t>
            </w:r>
          </w:p>
        </w:tc>
      </w:tr>
      <w:tr w:rsidR="00035D3E" w:rsidTr="00035D3E">
        <w:tc>
          <w:tcPr>
            <w:tcW w:w="3794" w:type="dxa"/>
            <w:tcBorders>
              <w:top w:val="single" w:sz="4" w:space="0" w:color="000000"/>
              <w:left w:val="single" w:sz="4" w:space="0" w:color="000000"/>
              <w:bottom w:val="single" w:sz="4" w:space="0" w:color="000000"/>
              <w:right w:val="nil"/>
            </w:tcBorders>
          </w:tcPr>
          <w:p w:rsidR="00035D3E" w:rsidRDefault="00035D3E">
            <w:pPr>
              <w:pStyle w:val="naisf"/>
              <w:snapToGrid w:val="0"/>
              <w:spacing w:before="0" w:after="0"/>
              <w:ind w:firstLine="0"/>
              <w:jc w:val="left"/>
              <w:rPr>
                <w:sz w:val="22"/>
                <w:szCs w:val="22"/>
              </w:rPr>
            </w:pPr>
          </w:p>
          <w:p w:rsidR="00035D3E" w:rsidRDefault="00035D3E">
            <w:pPr>
              <w:pStyle w:val="naisf"/>
              <w:snapToGrid w:val="0"/>
              <w:spacing w:before="0" w:after="0"/>
              <w:ind w:firstLine="0"/>
              <w:jc w:val="left"/>
              <w:rPr>
                <w:sz w:val="22"/>
                <w:szCs w:val="22"/>
              </w:rPr>
            </w:pPr>
            <w:r>
              <w:rPr>
                <w:sz w:val="22"/>
                <w:szCs w:val="22"/>
              </w:rPr>
              <w:t>Ziņas par darbiniekiem:</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color w:val="000000"/>
                <w:sz w:val="22"/>
                <w:szCs w:val="22"/>
              </w:rPr>
            </w:pPr>
            <w:r>
              <w:rPr>
                <w:color w:val="000000"/>
                <w:sz w:val="22"/>
                <w:szCs w:val="22"/>
              </w:rPr>
              <w:t>Partijai nav algotu darbinieku.</w:t>
            </w:r>
          </w:p>
        </w:tc>
      </w:tr>
      <w:tr w:rsidR="00035D3E" w:rsidTr="00035D3E">
        <w:tc>
          <w:tcPr>
            <w:tcW w:w="3794" w:type="dxa"/>
            <w:tcBorders>
              <w:top w:val="single" w:sz="4" w:space="0" w:color="000000"/>
              <w:left w:val="single" w:sz="4" w:space="0" w:color="000000"/>
              <w:bottom w:val="single" w:sz="4" w:space="0" w:color="000000"/>
              <w:right w:val="nil"/>
            </w:tcBorders>
            <w:hideMark/>
          </w:tcPr>
          <w:p w:rsidR="00035D3E" w:rsidRDefault="00035D3E">
            <w:pPr>
              <w:pStyle w:val="naisf"/>
              <w:snapToGrid w:val="0"/>
              <w:ind w:firstLine="0"/>
              <w:jc w:val="left"/>
              <w:rPr>
                <w:color w:val="000000"/>
                <w:sz w:val="22"/>
                <w:szCs w:val="22"/>
              </w:rPr>
            </w:pPr>
            <w:r>
              <w:rPr>
                <w:color w:val="000000"/>
                <w:sz w:val="22"/>
                <w:szCs w:val="22"/>
              </w:rPr>
              <w:t>Notikumi pēc pārskata gada pēdējās dienas:</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ind w:firstLine="0"/>
              <w:rPr>
                <w:color w:val="000000"/>
                <w:sz w:val="22"/>
                <w:szCs w:val="22"/>
              </w:rPr>
            </w:pPr>
            <w:r>
              <w:rPr>
                <w:color w:val="000000"/>
                <w:sz w:val="22"/>
                <w:szCs w:val="22"/>
              </w:rPr>
              <w:t>Izņemot ieprieksminēto, laika periodā no gada pārskata gada pēdējās dienas līdz šī ziņojuma parakstīšanai nav bijuši citi ievērojami notikumi, kas būtiski ietekmētu pārskata gada rezultātu, kuru rezultātā būtu jāveic gada pārskata korekcijas, vai kuri būtu jāiekļauj gada pārskata pielikumos.</w:t>
            </w:r>
          </w:p>
        </w:tc>
      </w:tr>
      <w:tr w:rsidR="00035D3E" w:rsidTr="00035D3E">
        <w:tc>
          <w:tcPr>
            <w:tcW w:w="3794" w:type="dxa"/>
            <w:tcBorders>
              <w:top w:val="single" w:sz="4" w:space="0" w:color="000000"/>
              <w:left w:val="single" w:sz="4" w:space="0" w:color="000000"/>
              <w:bottom w:val="single" w:sz="4" w:space="0" w:color="000000"/>
              <w:right w:val="nil"/>
            </w:tcBorders>
            <w:hideMark/>
          </w:tcPr>
          <w:p w:rsidR="00035D3E" w:rsidRDefault="00035D3E">
            <w:pPr>
              <w:pStyle w:val="naisf"/>
              <w:snapToGrid w:val="0"/>
              <w:ind w:firstLine="0"/>
              <w:jc w:val="left"/>
              <w:rPr>
                <w:color w:val="000000"/>
                <w:sz w:val="22"/>
                <w:szCs w:val="22"/>
              </w:rPr>
            </w:pPr>
            <w:r>
              <w:rPr>
                <w:color w:val="000000"/>
                <w:sz w:val="22"/>
                <w:szCs w:val="22"/>
              </w:rPr>
              <w:t>Nākotnes izredzes un turpmākā attīstība:</w:t>
            </w:r>
          </w:p>
        </w:tc>
        <w:tc>
          <w:tcPr>
            <w:tcW w:w="6024" w:type="dxa"/>
            <w:gridSpan w:val="2"/>
            <w:tcBorders>
              <w:top w:val="single" w:sz="4" w:space="0" w:color="000000"/>
              <w:left w:val="single" w:sz="4" w:space="0" w:color="000000"/>
              <w:bottom w:val="single" w:sz="4" w:space="0" w:color="000000"/>
              <w:right w:val="single" w:sz="4" w:space="0" w:color="000000"/>
            </w:tcBorders>
            <w:vAlign w:val="center"/>
            <w:hideMark/>
          </w:tcPr>
          <w:p w:rsidR="00035D3E" w:rsidRDefault="00035D3E">
            <w:pPr>
              <w:pStyle w:val="naisf"/>
              <w:snapToGrid w:val="0"/>
              <w:spacing w:before="0" w:after="0"/>
              <w:ind w:firstLine="0"/>
              <w:rPr>
                <w:color w:val="000000"/>
                <w:sz w:val="22"/>
                <w:szCs w:val="22"/>
              </w:rPr>
            </w:pPr>
            <w:r>
              <w:rPr>
                <w:color w:val="000000"/>
                <w:sz w:val="22"/>
                <w:szCs w:val="22"/>
              </w:rPr>
              <w:t>Politiskā partija „Talsu novada attīstībai” darbosies arī turpmāk. Partijas mērķis ir darboties valsts un pašvaldību politikā atbilstoši programmas pamatnostādnēm. Sagatavojot finanšu pārskatu, vadība ir izvērtējusi organizācijas spēju turpināt darboties arī turpmāk.</w:t>
            </w:r>
          </w:p>
        </w:tc>
      </w:tr>
    </w:tbl>
    <w:p w:rsidR="00035D3E" w:rsidRDefault="00035D3E" w:rsidP="00035D3E">
      <w:pPr>
        <w:pStyle w:val="naisf"/>
        <w:ind w:firstLine="0"/>
      </w:pPr>
    </w:p>
    <w:p w:rsidR="00035D3E" w:rsidRDefault="00035D3E" w:rsidP="00035D3E">
      <w:pPr>
        <w:rPr>
          <w:sz w:val="22"/>
          <w:szCs w:val="22"/>
        </w:rPr>
      </w:pPr>
      <w:r>
        <w:rPr>
          <w:sz w:val="22"/>
          <w:szCs w:val="22"/>
        </w:rPr>
        <w:t>Politiskās partijas „Talsu novada attīstībai”</w:t>
      </w:r>
    </w:p>
    <w:p w:rsidR="00035D3E" w:rsidRDefault="00035D3E" w:rsidP="00035D3E">
      <w:pPr>
        <w:rPr>
          <w:sz w:val="22"/>
          <w:szCs w:val="22"/>
        </w:rPr>
      </w:pPr>
      <w:r>
        <w:rPr>
          <w:sz w:val="22"/>
          <w:szCs w:val="22"/>
        </w:rPr>
        <w:t xml:space="preserve">valdes loceklis: </w:t>
      </w:r>
      <w:r>
        <w:rPr>
          <w:sz w:val="22"/>
          <w:szCs w:val="22"/>
        </w:rPr>
        <w:t xml:space="preserve">   </w:t>
      </w:r>
      <w:r>
        <w:rPr>
          <w:sz w:val="22"/>
          <w:szCs w:val="22"/>
        </w:rPr>
        <w:t>A. Vilsons</w:t>
      </w:r>
    </w:p>
    <w:p w:rsidR="00035D3E" w:rsidRDefault="00035D3E" w:rsidP="00035D3E"/>
    <w:p w:rsidR="00035D3E" w:rsidRDefault="00035D3E" w:rsidP="00035D3E">
      <w:pPr>
        <w:pStyle w:val="naislab"/>
        <w:spacing w:before="0" w:after="0"/>
        <w:jc w:val="left"/>
        <w:rPr>
          <w:sz w:val="22"/>
          <w:szCs w:val="22"/>
        </w:rPr>
      </w:pPr>
      <w:r>
        <w:rPr>
          <w:sz w:val="22"/>
          <w:szCs w:val="22"/>
        </w:rPr>
        <w:t>2020.gada 20.marts</w:t>
      </w:r>
    </w:p>
    <w:p w:rsidR="00035D3E" w:rsidRDefault="00035D3E" w:rsidP="00035D3E">
      <w:bookmarkStart w:id="0" w:name="_GoBack"/>
      <w:bookmarkEnd w:id="0"/>
    </w:p>
    <w:p w:rsidR="003F0D02" w:rsidRDefault="003F0D02"/>
    <w:sectPr w:rsidR="003F0D02" w:rsidSect="00035D3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D3E"/>
    <w:rsid w:val="00035D3E"/>
    <w:rsid w:val="003F0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3EFF"/>
  <w15:chartTrackingRefBased/>
  <w15:docId w15:val="{A18F7015-16C2-43F3-9A5E-15D525E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D3E"/>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35D3E"/>
    <w:pPr>
      <w:spacing w:before="75" w:after="75"/>
      <w:ind w:firstLine="375"/>
      <w:jc w:val="both"/>
    </w:pPr>
  </w:style>
  <w:style w:type="paragraph" w:customStyle="1" w:styleId="naislab">
    <w:name w:val="naislab"/>
    <w:basedOn w:val="Normal"/>
    <w:rsid w:val="00035D3E"/>
    <w:pPr>
      <w:spacing w:before="75" w:after="75"/>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8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1760</Words>
  <Characters>1004</Characters>
  <Application>Microsoft Office Word</Application>
  <DocSecurity>0</DocSecurity>
  <Lines>8</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2020-03-31T07:14:00Z</dcterms:created>
  <dcterms:modified xsi:type="dcterms:W3CDTF">2020-03-31T07:15:00Z</dcterms:modified>
</cp:coreProperties>
</file>